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8F" w:rsidRPr="007554DC" w:rsidRDefault="00511F8F" w:rsidP="00511F8F">
      <w:pPr>
        <w:tabs>
          <w:tab w:val="left" w:pos="1134"/>
        </w:tabs>
        <w:spacing w:line="276" w:lineRule="auto"/>
        <w:rPr>
          <w:rFonts w:ascii="Century Gothic" w:hAnsi="Century Gothic" w:cs="Arial"/>
          <w:sz w:val="22"/>
          <w:szCs w:val="22"/>
        </w:rPr>
      </w:pPr>
      <w:bookmarkStart w:id="0" w:name="_GoBack"/>
      <w:bookmarkEnd w:id="0"/>
    </w:p>
    <w:p w:rsidR="00511F8F" w:rsidRPr="007554DC" w:rsidRDefault="00511F8F" w:rsidP="00511F8F">
      <w:pPr>
        <w:tabs>
          <w:tab w:val="left" w:pos="1134"/>
        </w:tabs>
        <w:spacing w:line="276" w:lineRule="auto"/>
        <w:rPr>
          <w:rFonts w:ascii="Century Gothic" w:hAnsi="Century Gothic" w:cs="Arial"/>
          <w:sz w:val="22"/>
          <w:szCs w:val="22"/>
        </w:rPr>
      </w:pPr>
    </w:p>
    <w:p w:rsidR="00511F8F" w:rsidRPr="007554DC" w:rsidRDefault="00511F8F" w:rsidP="00511F8F">
      <w:pPr>
        <w:spacing w:line="276" w:lineRule="auto"/>
        <w:rPr>
          <w:rFonts w:ascii="Century Gothic" w:hAnsi="Century Gothic" w:cs="Arial"/>
          <w:szCs w:val="26"/>
        </w:rPr>
      </w:pPr>
      <w:r w:rsidRPr="0063407D">
        <w:rPr>
          <w:rFonts w:ascii="Century Gothic" w:hAnsi="Century Gothic" w:cs="Arial"/>
          <w:szCs w:val="22"/>
        </w:rPr>
        <w:t>Parecer APES-</w:t>
      </w:r>
      <w:proofErr w:type="spellStart"/>
      <w:r w:rsidRPr="0063407D">
        <w:rPr>
          <w:rFonts w:ascii="Century Gothic" w:hAnsi="Century Gothic" w:cs="Arial"/>
          <w:szCs w:val="22"/>
        </w:rPr>
        <w:t>SSind</w:t>
      </w:r>
      <w:proofErr w:type="spellEnd"/>
      <w:r w:rsidRPr="0063407D">
        <w:rPr>
          <w:rFonts w:ascii="Century Gothic" w:hAnsi="Century Gothic" w:cs="Arial"/>
          <w:szCs w:val="22"/>
        </w:rPr>
        <w:t xml:space="preserve"> n° 02/201</w:t>
      </w:r>
      <w:r>
        <w:rPr>
          <w:rFonts w:ascii="Century Gothic" w:hAnsi="Century Gothic" w:cs="Arial"/>
          <w:szCs w:val="22"/>
        </w:rPr>
        <w:t>4</w:t>
      </w:r>
    </w:p>
    <w:p w:rsidR="00511F8F" w:rsidRPr="007554DC" w:rsidRDefault="00511F8F" w:rsidP="00511F8F">
      <w:pPr>
        <w:spacing w:line="276" w:lineRule="auto"/>
        <w:ind w:left="1134"/>
        <w:rPr>
          <w:rFonts w:ascii="Century Gothic" w:hAnsi="Century Gothic" w:cs="Arial"/>
          <w:szCs w:val="26"/>
        </w:rPr>
      </w:pPr>
    </w:p>
    <w:p w:rsidR="00511F8F" w:rsidRPr="007554DC" w:rsidRDefault="00511F8F" w:rsidP="00511F8F">
      <w:pPr>
        <w:spacing w:line="276" w:lineRule="auto"/>
        <w:ind w:left="1134"/>
        <w:rPr>
          <w:rFonts w:ascii="Century Gothic" w:hAnsi="Century Gothic" w:cs="Arial"/>
          <w:szCs w:val="26"/>
        </w:rPr>
      </w:pPr>
    </w:p>
    <w:p w:rsidR="00511F8F" w:rsidRPr="007554DC" w:rsidRDefault="00511F8F" w:rsidP="00511F8F">
      <w:pPr>
        <w:spacing w:line="276" w:lineRule="auto"/>
        <w:ind w:left="1134"/>
        <w:rPr>
          <w:rFonts w:ascii="Century Gothic" w:hAnsi="Century Gothic" w:cs="Arial"/>
          <w:szCs w:val="26"/>
        </w:rPr>
      </w:pPr>
    </w:p>
    <w:p w:rsidR="00511F8F" w:rsidRPr="007554DC" w:rsidRDefault="00511F8F" w:rsidP="00511F8F">
      <w:pPr>
        <w:spacing w:line="276" w:lineRule="auto"/>
        <w:ind w:left="3960"/>
        <w:jc w:val="both"/>
        <w:rPr>
          <w:rFonts w:ascii="Century Gothic" w:hAnsi="Century Gothic" w:cs="Arial"/>
          <w:szCs w:val="26"/>
        </w:rPr>
      </w:pPr>
    </w:p>
    <w:p w:rsidR="00511F8F" w:rsidRPr="007554DC" w:rsidRDefault="00511F8F" w:rsidP="00511F8F">
      <w:pPr>
        <w:spacing w:line="276" w:lineRule="auto"/>
        <w:ind w:left="3960"/>
        <w:jc w:val="both"/>
        <w:rPr>
          <w:rFonts w:ascii="Century Gothic" w:hAnsi="Century Gothic" w:cs="Arial"/>
          <w:szCs w:val="26"/>
        </w:rPr>
      </w:pPr>
    </w:p>
    <w:p w:rsidR="00511F8F" w:rsidRPr="007554DC" w:rsidRDefault="00511F8F" w:rsidP="00511F8F">
      <w:pPr>
        <w:spacing w:line="276" w:lineRule="auto"/>
        <w:ind w:left="3960"/>
        <w:jc w:val="both"/>
        <w:rPr>
          <w:rFonts w:ascii="Century Gothic" w:hAnsi="Century Gothic" w:cs="Arial"/>
          <w:b/>
          <w:sz w:val="22"/>
        </w:rPr>
      </w:pPr>
      <w:r w:rsidRPr="007554DC">
        <w:rPr>
          <w:rFonts w:ascii="Century Gothic" w:hAnsi="Century Gothic" w:cs="Arial"/>
          <w:b/>
          <w:sz w:val="22"/>
        </w:rPr>
        <w:t xml:space="preserve">Referência: </w:t>
      </w:r>
      <w:r>
        <w:rPr>
          <w:rFonts w:ascii="Century Gothic" w:hAnsi="Century Gothic" w:cs="Arial"/>
          <w:b/>
          <w:sz w:val="22"/>
        </w:rPr>
        <w:t>Estágio Probatório</w:t>
      </w:r>
      <w:r w:rsidRPr="007554DC">
        <w:rPr>
          <w:rFonts w:ascii="Century Gothic" w:hAnsi="Century Gothic" w:cs="Arial"/>
          <w:b/>
          <w:sz w:val="22"/>
        </w:rPr>
        <w:t xml:space="preserve">. </w:t>
      </w:r>
      <w:r>
        <w:rPr>
          <w:rFonts w:ascii="Century Gothic" w:hAnsi="Century Gothic" w:cs="Arial"/>
          <w:b/>
          <w:sz w:val="22"/>
        </w:rPr>
        <w:t>Programa de Recepção de Docentes. Participação</w:t>
      </w:r>
      <w:r w:rsidRPr="00FE4695">
        <w:rPr>
          <w:rFonts w:ascii="Century Gothic" w:hAnsi="Century Gothic" w:cs="Arial"/>
          <w:b/>
          <w:sz w:val="22"/>
        </w:rPr>
        <w:t>.</w:t>
      </w:r>
      <w:r>
        <w:rPr>
          <w:rFonts w:ascii="Century Gothic" w:hAnsi="Century Gothic" w:cs="Arial"/>
          <w:b/>
          <w:sz w:val="22"/>
        </w:rPr>
        <w:t xml:space="preserve"> Repercussão na Avaliação de Desempenho.</w:t>
      </w:r>
    </w:p>
    <w:p w:rsidR="00511F8F" w:rsidRPr="007554DC" w:rsidRDefault="00511F8F" w:rsidP="00511F8F">
      <w:pPr>
        <w:spacing w:line="276" w:lineRule="auto"/>
        <w:ind w:left="1134"/>
        <w:rPr>
          <w:rFonts w:ascii="Century Gothic" w:hAnsi="Century Gothic" w:cs="Arial"/>
          <w:i/>
          <w:szCs w:val="22"/>
        </w:rPr>
      </w:pPr>
    </w:p>
    <w:p w:rsidR="00511F8F" w:rsidRPr="007554DC" w:rsidRDefault="00511F8F" w:rsidP="00511F8F">
      <w:pPr>
        <w:spacing w:line="276" w:lineRule="auto"/>
        <w:ind w:left="1134"/>
        <w:rPr>
          <w:rFonts w:ascii="Century Gothic" w:hAnsi="Century Gothic" w:cs="Arial"/>
          <w:i/>
          <w:szCs w:val="22"/>
        </w:rPr>
      </w:pPr>
    </w:p>
    <w:p w:rsidR="00511F8F" w:rsidRPr="007554DC" w:rsidRDefault="00511F8F" w:rsidP="00511F8F">
      <w:pPr>
        <w:spacing w:line="276" w:lineRule="auto"/>
        <w:ind w:left="1134"/>
        <w:rPr>
          <w:rFonts w:ascii="Century Gothic" w:hAnsi="Century Gothic" w:cs="Arial"/>
          <w:i/>
          <w:szCs w:val="22"/>
        </w:rPr>
      </w:pPr>
    </w:p>
    <w:p w:rsidR="00511F8F" w:rsidRPr="007554DC" w:rsidRDefault="00511F8F" w:rsidP="00511F8F">
      <w:pPr>
        <w:spacing w:line="276" w:lineRule="auto"/>
        <w:ind w:left="1134"/>
        <w:rPr>
          <w:rFonts w:ascii="Century Gothic" w:hAnsi="Century Gothic" w:cs="Arial"/>
          <w:i/>
          <w:szCs w:val="22"/>
        </w:rPr>
      </w:pPr>
    </w:p>
    <w:p w:rsidR="00511F8F" w:rsidRPr="007554DC" w:rsidRDefault="00511F8F" w:rsidP="00511F8F">
      <w:pPr>
        <w:spacing w:line="276" w:lineRule="auto"/>
        <w:ind w:left="1134"/>
        <w:rPr>
          <w:rFonts w:ascii="Century Gothic" w:hAnsi="Century Gothic" w:cs="Arial"/>
          <w:i/>
          <w:szCs w:val="22"/>
        </w:rPr>
      </w:pPr>
    </w:p>
    <w:p w:rsidR="00511F8F" w:rsidRPr="007554DC" w:rsidRDefault="00511F8F" w:rsidP="00511F8F">
      <w:pPr>
        <w:spacing w:line="276" w:lineRule="auto"/>
        <w:ind w:left="1134"/>
        <w:rPr>
          <w:rFonts w:ascii="Century Gothic" w:hAnsi="Century Gothic" w:cs="Arial"/>
          <w:i/>
          <w:szCs w:val="22"/>
        </w:rPr>
      </w:pPr>
    </w:p>
    <w:p w:rsidR="00511F8F" w:rsidRPr="007554DC" w:rsidRDefault="00511F8F" w:rsidP="00511F8F">
      <w:pPr>
        <w:spacing w:line="276" w:lineRule="auto"/>
        <w:ind w:left="1134"/>
        <w:rPr>
          <w:rFonts w:ascii="Century Gothic" w:hAnsi="Century Gothic" w:cs="Arial"/>
          <w:i/>
          <w:szCs w:val="22"/>
        </w:rPr>
      </w:pPr>
    </w:p>
    <w:p w:rsidR="00511F8F" w:rsidRPr="007554DC" w:rsidRDefault="00511F8F" w:rsidP="00511F8F">
      <w:pPr>
        <w:spacing w:line="276" w:lineRule="auto"/>
        <w:ind w:left="1134"/>
        <w:rPr>
          <w:rFonts w:ascii="Century Gothic" w:hAnsi="Century Gothic" w:cs="Arial"/>
          <w:i/>
          <w:szCs w:val="22"/>
        </w:rPr>
      </w:pPr>
    </w:p>
    <w:p w:rsidR="00511F8F" w:rsidRPr="007554DC" w:rsidRDefault="00511F8F" w:rsidP="00511F8F">
      <w:pPr>
        <w:spacing w:line="276" w:lineRule="auto"/>
        <w:ind w:left="1134"/>
        <w:rPr>
          <w:rFonts w:ascii="Century Gothic" w:hAnsi="Century Gothic" w:cs="Arial"/>
          <w:i/>
          <w:szCs w:val="22"/>
        </w:rPr>
      </w:pPr>
    </w:p>
    <w:p w:rsidR="00511F8F" w:rsidRPr="007554DC" w:rsidRDefault="00511F8F" w:rsidP="00511F8F">
      <w:pPr>
        <w:spacing w:line="276" w:lineRule="auto"/>
        <w:ind w:left="1134"/>
        <w:rPr>
          <w:rFonts w:ascii="Century Gothic" w:hAnsi="Century Gothic" w:cs="Arial"/>
          <w:i/>
          <w:szCs w:val="22"/>
        </w:rPr>
      </w:pPr>
    </w:p>
    <w:p w:rsidR="00511F8F" w:rsidRPr="007554DC" w:rsidRDefault="00511F8F" w:rsidP="00511F8F">
      <w:pPr>
        <w:spacing w:line="276" w:lineRule="auto"/>
        <w:ind w:left="1134"/>
        <w:rPr>
          <w:rFonts w:ascii="Century Gothic" w:hAnsi="Century Gothic" w:cs="Arial"/>
          <w:i/>
          <w:szCs w:val="22"/>
        </w:rPr>
      </w:pPr>
    </w:p>
    <w:p w:rsidR="00511F8F" w:rsidRPr="007554DC" w:rsidRDefault="00511F8F" w:rsidP="00511F8F">
      <w:pPr>
        <w:spacing w:line="276" w:lineRule="auto"/>
        <w:ind w:firstLine="1440"/>
        <w:jc w:val="both"/>
        <w:rPr>
          <w:rFonts w:ascii="Century Gothic" w:hAnsi="Century Gothic" w:cs="Arial"/>
          <w:iCs/>
          <w:szCs w:val="22"/>
        </w:rPr>
      </w:pPr>
      <w:r>
        <w:rPr>
          <w:rFonts w:ascii="Century Gothic" w:hAnsi="Century Gothic"/>
        </w:rPr>
        <w:t xml:space="preserve">A diretoria da </w:t>
      </w:r>
      <w:r w:rsidRPr="00D31348">
        <w:rPr>
          <w:rFonts w:ascii="Century Gothic" w:hAnsi="Century Gothic"/>
        </w:rPr>
        <w:t>APESJF-</w:t>
      </w:r>
      <w:proofErr w:type="spellStart"/>
      <w:r w:rsidRPr="00D31348">
        <w:rPr>
          <w:rFonts w:ascii="Century Gothic" w:hAnsi="Century Gothic"/>
        </w:rPr>
        <w:t>SSind</w:t>
      </w:r>
      <w:proofErr w:type="spellEnd"/>
      <w:r>
        <w:rPr>
          <w:rFonts w:ascii="Century Gothic" w:hAnsi="Century Gothic"/>
        </w:rPr>
        <w:t xml:space="preserve"> submeteu, a esta assessoria jurídica, consulta indagando sobre a necessidade dos docentes que se encontram em estágio probatório de participar do Programa de Recepção de Docentes e </w:t>
      </w:r>
      <w:r w:rsidRPr="007618DE">
        <w:rPr>
          <w:rFonts w:ascii="Century Gothic" w:hAnsi="Century Gothic"/>
        </w:rPr>
        <w:t>a</w:t>
      </w:r>
      <w:r>
        <w:rPr>
          <w:rFonts w:ascii="Century Gothic" w:hAnsi="Century Gothic"/>
        </w:rPr>
        <w:t>s</w:t>
      </w:r>
      <w:r w:rsidRPr="007618DE">
        <w:rPr>
          <w:rFonts w:ascii="Century Gothic" w:hAnsi="Century Gothic"/>
        </w:rPr>
        <w:t xml:space="preserve"> </w:t>
      </w:r>
      <w:r>
        <w:rPr>
          <w:rFonts w:ascii="Century Gothic" w:hAnsi="Century Gothic"/>
        </w:rPr>
        <w:t>repercussões negativas do não cumprimento desta exigência na avaliação de desempenho dos referidos servidores, em especial</w:t>
      </w:r>
      <w:r w:rsidRPr="007618DE">
        <w:rPr>
          <w:rFonts w:ascii="Century Gothic" w:hAnsi="Century Gothic"/>
        </w:rPr>
        <w:t xml:space="preserve"> </w:t>
      </w:r>
      <w:r>
        <w:rPr>
          <w:rFonts w:ascii="Century Gothic" w:hAnsi="Century Gothic"/>
        </w:rPr>
        <w:t>se a não participação no dito programa, por si só, poderia acarretar a reprovação no estágio probatório.</w:t>
      </w:r>
    </w:p>
    <w:p w:rsidR="00511F8F" w:rsidRPr="007554DC" w:rsidRDefault="00511F8F" w:rsidP="00511F8F">
      <w:pPr>
        <w:spacing w:line="276" w:lineRule="auto"/>
        <w:ind w:firstLine="1134"/>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Inicialmente, cumpre registrar que o estágio probatório é o lapso temporal em que o servidor público, nomeado para cargo de provimento efetivo, tem sua aptidão e capacidade para o exercício das funções correspondentes aferidas por meio de um processo específico. Trata-se, em suma, de uma avaliação da capacidade funcional, que o concurso, por si só, não tem condições de mensurar.</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Nesse período</w:t>
      </w:r>
      <w:r w:rsidR="00CE02AA">
        <w:rPr>
          <w:rFonts w:ascii="Century Gothic" w:hAnsi="Century Gothic" w:cs="Arial"/>
          <w:iCs/>
          <w:szCs w:val="22"/>
        </w:rPr>
        <w:t>,</w:t>
      </w:r>
      <w:r>
        <w:rPr>
          <w:rFonts w:ascii="Century Gothic" w:hAnsi="Century Gothic" w:cs="Arial"/>
          <w:iCs/>
          <w:szCs w:val="22"/>
        </w:rPr>
        <w:t xml:space="preserve"> a atuação do servidor será </w:t>
      </w:r>
      <w:r w:rsidR="00CE02AA">
        <w:rPr>
          <w:rFonts w:ascii="Century Gothic" w:hAnsi="Century Gothic" w:cs="Arial"/>
          <w:iCs/>
          <w:szCs w:val="22"/>
        </w:rPr>
        <w:t xml:space="preserve">analisada </w:t>
      </w:r>
      <w:r>
        <w:rPr>
          <w:rFonts w:ascii="Century Gothic" w:hAnsi="Century Gothic" w:cs="Arial"/>
          <w:iCs/>
          <w:szCs w:val="22"/>
        </w:rPr>
        <w:t>através de um conjunto de procedimentos capazes de demostrar a dimensão de seu desempenho no que diz respeito às atribuições do cargo.</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 xml:space="preserve">Regra geral, os fatores </w:t>
      </w:r>
      <w:r w:rsidR="00CE02AA">
        <w:rPr>
          <w:rFonts w:ascii="Century Gothic" w:hAnsi="Century Gothic" w:cs="Arial"/>
          <w:iCs/>
          <w:szCs w:val="22"/>
        </w:rPr>
        <w:t>considerados</w:t>
      </w:r>
      <w:r>
        <w:rPr>
          <w:rFonts w:ascii="Century Gothic" w:hAnsi="Century Gothic" w:cs="Arial"/>
          <w:iCs/>
          <w:szCs w:val="22"/>
        </w:rPr>
        <w:t xml:space="preserve"> durante o estágio probatório estão elencados no </w:t>
      </w:r>
      <w:r>
        <w:rPr>
          <w:rFonts w:ascii="Century Gothic" w:hAnsi="Century Gothic" w:cs="Arial"/>
          <w:i/>
          <w:iCs/>
          <w:szCs w:val="22"/>
        </w:rPr>
        <w:t xml:space="preserve">caput </w:t>
      </w:r>
      <w:r>
        <w:rPr>
          <w:rFonts w:ascii="Century Gothic" w:hAnsi="Century Gothic" w:cs="Arial"/>
          <w:iCs/>
          <w:szCs w:val="22"/>
        </w:rPr>
        <w:t xml:space="preserve">do artigo 20 da Lei nº 8.112/91, </w:t>
      </w:r>
      <w:r>
        <w:rPr>
          <w:rFonts w:ascii="Century Gothic" w:hAnsi="Century Gothic" w:cs="Arial"/>
          <w:i/>
          <w:iCs/>
          <w:szCs w:val="22"/>
        </w:rPr>
        <w:t xml:space="preserve">in </w:t>
      </w:r>
      <w:r w:rsidRPr="00737816">
        <w:rPr>
          <w:rFonts w:ascii="Century Gothic" w:hAnsi="Century Gothic" w:cs="Arial"/>
          <w:i/>
          <w:iCs/>
          <w:szCs w:val="22"/>
          <w:lang w:val="la-Latn"/>
        </w:rPr>
        <w:t>verbis</w:t>
      </w:r>
      <w:r>
        <w:rPr>
          <w:rFonts w:ascii="Century Gothic" w:hAnsi="Century Gothic" w:cs="Arial"/>
          <w:iCs/>
          <w:szCs w:val="22"/>
        </w:rPr>
        <w:t>:</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Pr="00737816"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737816">
        <w:rPr>
          <w:rFonts w:ascii="Century Gothic" w:hAnsi="Century Gothic" w:cs="Arial"/>
          <w:i/>
          <w:iCs/>
          <w:sz w:val="20"/>
          <w:szCs w:val="22"/>
        </w:rPr>
        <w:t xml:space="preserve">Art. 20.  Ao entrar em exercício, o servidor nomeado para cargo de provimento efetivo ficará sujeito a estágio probatório por período de 24 (vinte e quatro) meses, durante o qual a sua aptidão e capacidade serão objeto de avaliação para o desempenho do cargo, observados os seguinte fatores: </w:t>
      </w:r>
    </w:p>
    <w:p w:rsidR="00511F8F" w:rsidRPr="00737816"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737816">
        <w:rPr>
          <w:rFonts w:ascii="Century Gothic" w:hAnsi="Century Gothic" w:cs="Arial"/>
          <w:i/>
          <w:iCs/>
          <w:sz w:val="20"/>
          <w:szCs w:val="22"/>
        </w:rPr>
        <w:t>I - assiduidade;</w:t>
      </w:r>
    </w:p>
    <w:p w:rsidR="00511F8F" w:rsidRPr="00737816"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737816">
        <w:rPr>
          <w:rFonts w:ascii="Century Gothic" w:hAnsi="Century Gothic" w:cs="Arial"/>
          <w:i/>
          <w:iCs/>
          <w:sz w:val="20"/>
          <w:szCs w:val="22"/>
        </w:rPr>
        <w:t>II - disciplina;</w:t>
      </w:r>
    </w:p>
    <w:p w:rsidR="00511F8F" w:rsidRPr="00737816"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737816">
        <w:rPr>
          <w:rFonts w:ascii="Century Gothic" w:hAnsi="Century Gothic" w:cs="Arial"/>
          <w:i/>
          <w:iCs/>
          <w:sz w:val="20"/>
          <w:szCs w:val="22"/>
        </w:rPr>
        <w:t>III - capacidade de iniciativa;</w:t>
      </w:r>
    </w:p>
    <w:p w:rsidR="00511F8F" w:rsidRPr="00737816"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737816">
        <w:rPr>
          <w:rFonts w:ascii="Century Gothic" w:hAnsi="Century Gothic" w:cs="Arial"/>
          <w:i/>
          <w:iCs/>
          <w:sz w:val="20"/>
          <w:szCs w:val="22"/>
        </w:rPr>
        <w:t>IV - produtividade;</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737816">
        <w:rPr>
          <w:rFonts w:ascii="Century Gothic" w:hAnsi="Century Gothic" w:cs="Arial"/>
          <w:i/>
          <w:iCs/>
          <w:sz w:val="20"/>
          <w:szCs w:val="22"/>
        </w:rPr>
        <w:t>V</w:t>
      </w:r>
      <w:r>
        <w:rPr>
          <w:rFonts w:ascii="Century Gothic" w:hAnsi="Century Gothic" w:cs="Arial"/>
          <w:i/>
          <w:iCs/>
          <w:sz w:val="20"/>
          <w:szCs w:val="22"/>
        </w:rPr>
        <w:t xml:space="preserve"> </w:t>
      </w:r>
      <w:r w:rsidRPr="00737816">
        <w:rPr>
          <w:rFonts w:ascii="Century Gothic" w:hAnsi="Century Gothic" w:cs="Arial"/>
          <w:i/>
          <w:iCs/>
          <w:sz w:val="20"/>
          <w:szCs w:val="22"/>
        </w:rPr>
        <w:t>- responsabilidade.</w:t>
      </w:r>
    </w:p>
    <w:p w:rsidR="00511F8F" w:rsidRPr="00737816"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 xml:space="preserve">O legislador, portanto, estabeleceu aspectos que deverão ser </w:t>
      </w:r>
      <w:r w:rsidR="0058670D">
        <w:rPr>
          <w:rFonts w:ascii="Century Gothic" w:hAnsi="Century Gothic" w:cs="Arial"/>
          <w:iCs/>
          <w:szCs w:val="22"/>
        </w:rPr>
        <w:t>sopesados</w:t>
      </w:r>
      <w:r>
        <w:rPr>
          <w:rFonts w:ascii="Century Gothic" w:hAnsi="Century Gothic" w:cs="Arial"/>
          <w:iCs/>
          <w:szCs w:val="22"/>
        </w:rPr>
        <w:t xml:space="preserve"> durante a avaliação de desempenho do servidor em estágio probatório. Não basta a análise isolada, por exemplo, da assiduidade (inciso I), para se concluir que o servidor público tem (ou não tem) competência e disposição para a realização das funções inerentes ao seu cargo, todos os cinco fatores erigidos pelo transcrito artigo necessitam de um exame apurado, influenciando, obviamente, no resultado final.</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Em outras palavras, uma alta pontuação em qualquer um dos cinco fatores legalmente arrolados não acarretará, necessariamente, a aprovação no estágio probatório, assim como uma baixa pontuação em determinado elemento de avaliação não motivará, obrigatoriamente, uma reprovação.</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Sobre o tema, cumpre colacionar o significativo acórdão proferido pelo Tribunal Regional Federal da 4ª Região:</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Pr="00F14081"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Cs w:val="22"/>
        </w:rPr>
      </w:pPr>
      <w:r>
        <w:rPr>
          <w:rFonts w:ascii="Century Gothic" w:hAnsi="Century Gothic" w:cs="Arial"/>
          <w:i/>
          <w:iCs/>
          <w:sz w:val="20"/>
          <w:szCs w:val="22"/>
        </w:rPr>
        <w:t xml:space="preserve">APELAÇÃO </w:t>
      </w:r>
      <w:r w:rsidRPr="00F14081">
        <w:rPr>
          <w:rFonts w:ascii="Century Gothic" w:hAnsi="Century Gothic" w:cs="Arial"/>
          <w:i/>
          <w:iCs/>
          <w:sz w:val="20"/>
          <w:szCs w:val="22"/>
        </w:rPr>
        <w:t>CÍVEL. SERVIDOR PÚBLICO.</w:t>
      </w:r>
      <w:r>
        <w:rPr>
          <w:rFonts w:ascii="Century Gothic" w:hAnsi="Century Gothic" w:cs="Arial"/>
          <w:i/>
          <w:iCs/>
          <w:sz w:val="20"/>
          <w:szCs w:val="22"/>
        </w:rPr>
        <w:t xml:space="preserve"> </w:t>
      </w:r>
      <w:r w:rsidRPr="00F14081">
        <w:rPr>
          <w:rFonts w:ascii="Century Gothic" w:hAnsi="Century Gothic" w:cs="Arial"/>
          <w:bCs/>
          <w:i/>
          <w:iCs/>
          <w:sz w:val="20"/>
          <w:szCs w:val="22"/>
        </w:rPr>
        <w:t>ESTÁGIO PROBATÓRIO.</w:t>
      </w:r>
      <w:r>
        <w:rPr>
          <w:rFonts w:ascii="Century Gothic" w:hAnsi="Century Gothic" w:cs="Arial"/>
          <w:i/>
          <w:iCs/>
          <w:sz w:val="20"/>
          <w:szCs w:val="22"/>
        </w:rPr>
        <w:t xml:space="preserve"> </w:t>
      </w:r>
      <w:r w:rsidRPr="00F14081">
        <w:rPr>
          <w:rFonts w:ascii="Century Gothic" w:hAnsi="Century Gothic" w:cs="Arial"/>
          <w:i/>
          <w:iCs/>
          <w:sz w:val="20"/>
          <w:szCs w:val="22"/>
        </w:rPr>
        <w:t xml:space="preserve">AVALIAÇÃO. EXONERAÇÃO. IRREGULARIDADE. REINTEGRAÇÃO DO SERVIDOR. DANOS MORAIS. </w:t>
      </w:r>
      <w:r w:rsidRPr="00F14081">
        <w:rPr>
          <w:rFonts w:ascii="Century Gothic" w:hAnsi="Century Gothic" w:cs="Arial"/>
          <w:b/>
          <w:i/>
          <w:iCs/>
          <w:sz w:val="20"/>
          <w:szCs w:val="22"/>
        </w:rPr>
        <w:t xml:space="preserve">1. </w:t>
      </w:r>
      <w:r w:rsidRPr="0093737D">
        <w:rPr>
          <w:rFonts w:ascii="Century Gothic" w:hAnsi="Century Gothic" w:cs="Arial"/>
          <w:b/>
          <w:i/>
          <w:iCs/>
          <w:sz w:val="20"/>
          <w:szCs w:val="22"/>
          <w:u w:val="single"/>
        </w:rPr>
        <w:t>Deve ser reintegrado o servidor exonerado após avaliação de </w:t>
      </w:r>
      <w:r w:rsidRPr="0093737D">
        <w:rPr>
          <w:rFonts w:ascii="Century Gothic" w:hAnsi="Century Gothic" w:cs="Arial"/>
          <w:b/>
          <w:bCs/>
          <w:i/>
          <w:iCs/>
          <w:sz w:val="20"/>
          <w:szCs w:val="22"/>
          <w:u w:val="single"/>
        </w:rPr>
        <w:t>estágio probatório</w:t>
      </w:r>
      <w:r w:rsidRPr="0093737D">
        <w:rPr>
          <w:rFonts w:ascii="Century Gothic" w:hAnsi="Century Gothic" w:cs="Arial"/>
          <w:b/>
          <w:i/>
          <w:iCs/>
          <w:sz w:val="20"/>
          <w:szCs w:val="22"/>
          <w:u w:val="single"/>
        </w:rPr>
        <w:t xml:space="preserve"> que </w:t>
      </w:r>
      <w:r w:rsidRPr="00F14081">
        <w:rPr>
          <w:rFonts w:ascii="Century Gothic" w:hAnsi="Century Gothic" w:cs="Arial"/>
          <w:b/>
          <w:i/>
          <w:iCs/>
          <w:sz w:val="20"/>
          <w:szCs w:val="22"/>
          <w:u w:val="single"/>
        </w:rPr>
        <w:t>olvidou de avaliar a integralidade dos </w:t>
      </w:r>
      <w:r w:rsidRPr="00F14081">
        <w:rPr>
          <w:rFonts w:ascii="Century Gothic" w:hAnsi="Century Gothic" w:cs="Arial"/>
          <w:b/>
          <w:bCs/>
          <w:i/>
          <w:iCs/>
          <w:sz w:val="20"/>
          <w:szCs w:val="22"/>
          <w:u w:val="single"/>
        </w:rPr>
        <w:t>fatores</w:t>
      </w:r>
      <w:r w:rsidRPr="00F14081">
        <w:rPr>
          <w:rFonts w:ascii="Century Gothic" w:hAnsi="Century Gothic" w:cs="Arial"/>
          <w:b/>
          <w:i/>
          <w:iCs/>
          <w:sz w:val="20"/>
          <w:szCs w:val="22"/>
          <w:u w:val="single"/>
        </w:rPr>
        <w:t> expressos nos incisos do art. 20, da Lei nº 8.112/90</w:t>
      </w:r>
      <w:r w:rsidRPr="00F14081">
        <w:rPr>
          <w:rFonts w:ascii="Century Gothic" w:hAnsi="Century Gothic" w:cs="Arial"/>
          <w:i/>
          <w:iCs/>
          <w:sz w:val="20"/>
          <w:szCs w:val="22"/>
        </w:rPr>
        <w:t xml:space="preserve">. A Administração haveria de levar em conta a conclusão, favorável ao servidor, da comissão que apurou disciplinarmente sua </w:t>
      </w:r>
      <w:proofErr w:type="spellStart"/>
      <w:r w:rsidRPr="00F14081">
        <w:rPr>
          <w:rFonts w:ascii="Century Gothic" w:hAnsi="Century Gothic" w:cs="Arial"/>
          <w:i/>
          <w:iCs/>
          <w:sz w:val="20"/>
          <w:szCs w:val="22"/>
        </w:rPr>
        <w:t>inassiduidade</w:t>
      </w:r>
      <w:proofErr w:type="spellEnd"/>
      <w:r w:rsidRPr="00F14081">
        <w:rPr>
          <w:rFonts w:ascii="Century Gothic" w:hAnsi="Century Gothic" w:cs="Arial"/>
          <w:i/>
          <w:iCs/>
          <w:sz w:val="20"/>
          <w:szCs w:val="22"/>
        </w:rPr>
        <w:t>, mormente, quando se percebe que a avaliação feita acerca do </w:t>
      </w:r>
      <w:r w:rsidRPr="00F14081">
        <w:rPr>
          <w:rFonts w:ascii="Century Gothic" w:hAnsi="Century Gothic" w:cs="Arial"/>
          <w:bCs/>
          <w:i/>
          <w:iCs/>
          <w:sz w:val="20"/>
          <w:szCs w:val="22"/>
        </w:rPr>
        <w:t>estágio probatório</w:t>
      </w:r>
      <w:r w:rsidRPr="00F14081">
        <w:rPr>
          <w:rFonts w:ascii="Century Gothic" w:hAnsi="Century Gothic" w:cs="Arial"/>
          <w:i/>
          <w:iCs/>
          <w:sz w:val="20"/>
          <w:szCs w:val="22"/>
        </w:rPr>
        <w:t xml:space="preserve"> resumiu-se ao fator da (in)assiduidade. 2. Incabíveis os pedidos de indenização por </w:t>
      </w:r>
      <w:r w:rsidRPr="00F14081">
        <w:rPr>
          <w:rFonts w:ascii="Century Gothic" w:hAnsi="Century Gothic" w:cs="Arial"/>
          <w:i/>
          <w:iCs/>
          <w:sz w:val="20"/>
          <w:szCs w:val="22"/>
        </w:rPr>
        <w:lastRenderedPageBreak/>
        <w:t>danos morais, por quaisquer dos fundamentos invocados.</w:t>
      </w:r>
      <w:r>
        <w:rPr>
          <w:rFonts w:ascii="Century Gothic" w:hAnsi="Century Gothic" w:cs="Arial"/>
          <w:i/>
          <w:iCs/>
          <w:sz w:val="20"/>
          <w:szCs w:val="22"/>
        </w:rPr>
        <w:t xml:space="preserve"> (TRF-4ªR, Apelação Cível nº </w:t>
      </w:r>
      <w:r w:rsidRPr="0093737D">
        <w:rPr>
          <w:rFonts w:ascii="Century Gothic" w:hAnsi="Century Gothic" w:cs="Arial"/>
          <w:i/>
          <w:iCs/>
          <w:sz w:val="20"/>
          <w:szCs w:val="22"/>
        </w:rPr>
        <w:t>200072000024771</w:t>
      </w:r>
      <w:r>
        <w:rPr>
          <w:rFonts w:ascii="Century Gothic" w:hAnsi="Century Gothic" w:cs="Arial"/>
          <w:i/>
          <w:iCs/>
          <w:sz w:val="20"/>
          <w:szCs w:val="22"/>
        </w:rPr>
        <w:t xml:space="preserve">, Quarta Turma, Rel. Desembargador Federal Valdemar </w:t>
      </w:r>
      <w:proofErr w:type="spellStart"/>
      <w:r>
        <w:rPr>
          <w:rFonts w:ascii="Century Gothic" w:hAnsi="Century Gothic" w:cs="Arial"/>
          <w:i/>
          <w:iCs/>
          <w:sz w:val="20"/>
          <w:szCs w:val="22"/>
        </w:rPr>
        <w:t>Capeletti</w:t>
      </w:r>
      <w:proofErr w:type="spellEnd"/>
      <w:r>
        <w:rPr>
          <w:rFonts w:ascii="Century Gothic" w:hAnsi="Century Gothic" w:cs="Arial"/>
          <w:i/>
          <w:iCs/>
          <w:sz w:val="20"/>
          <w:szCs w:val="22"/>
        </w:rPr>
        <w:t xml:space="preserve">, julgado em 01/06/2005, DJ 27/07/2005, p. 733) </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 xml:space="preserve">Vale insistir, a avaliação de desempenho do servidor em estágio probatório não pode se restringir a um </w:t>
      </w:r>
      <w:r w:rsidR="0060206B">
        <w:rPr>
          <w:rFonts w:ascii="Century Gothic" w:hAnsi="Century Gothic" w:cs="Arial"/>
          <w:iCs/>
          <w:szCs w:val="22"/>
        </w:rPr>
        <w:t>único</w:t>
      </w:r>
      <w:r>
        <w:rPr>
          <w:rFonts w:ascii="Century Gothic" w:hAnsi="Century Gothic" w:cs="Arial"/>
          <w:iCs/>
          <w:szCs w:val="22"/>
        </w:rPr>
        <w:t xml:space="preserve"> critério estabelecido pelo transcrito artigo 20 do Estatuto dos Servidores Civis da União. A integralidade dos fatores (assiduidade, disciplina, capacidade de iniciativa, produtividade e responsabilidade) merece atenção, tendo repercussão na conclusão final. </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Especificamente, no que tange ao cargo de magistério superior, a Lei nº 12.772/2012, responsável pela normatização da referida carreira, além dos critérios estabelecidos pela Lei nº 8.112/91, criou diversos outros, que também deverão ser ponderados na análise da atuação dos professores em estágio probatório.</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Veja-se o disposto no artigo 24 da Lei nº 12.772/2012:</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Pr="00672447"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672447">
        <w:rPr>
          <w:rFonts w:ascii="Century Gothic" w:hAnsi="Century Gothic" w:cs="Arial"/>
          <w:i/>
          <w:iCs/>
          <w:sz w:val="20"/>
          <w:szCs w:val="22"/>
        </w:rPr>
        <w:t>Art. 24.  Além dos fatores previstos no </w:t>
      </w:r>
      <w:hyperlink r:id="rId8" w:anchor="art20" w:history="1">
        <w:r w:rsidRPr="00432926">
          <w:rPr>
            <w:rStyle w:val="Hyperlink"/>
            <w:rFonts w:ascii="Century Gothic" w:hAnsi="Century Gothic" w:cs="Arial"/>
            <w:i/>
            <w:iCs/>
            <w:color w:val="auto"/>
            <w:sz w:val="20"/>
            <w:szCs w:val="22"/>
            <w:u w:val="none"/>
          </w:rPr>
          <w:t>art. 20 da Lei nº 8.112, de 1990</w:t>
        </w:r>
      </w:hyperlink>
      <w:r w:rsidRPr="00672447">
        <w:rPr>
          <w:rFonts w:ascii="Century Gothic" w:hAnsi="Century Gothic" w:cs="Arial"/>
          <w:i/>
          <w:iCs/>
          <w:sz w:val="20"/>
          <w:szCs w:val="22"/>
        </w:rPr>
        <w:t>, a avaliação especial de desempenho do docente em estágio probatório deverá considerar:</w:t>
      </w:r>
    </w:p>
    <w:p w:rsidR="00511F8F" w:rsidRPr="00672447"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672447">
        <w:rPr>
          <w:rFonts w:ascii="Century Gothic" w:hAnsi="Century Gothic" w:cs="Arial"/>
          <w:i/>
          <w:iCs/>
          <w:sz w:val="20"/>
          <w:szCs w:val="22"/>
        </w:rPr>
        <w:t>I - adaptação do professor ao trabalho, verificada por meio de avaliação da capacidade e qualidade no desempenho das atribuições do cargo;</w:t>
      </w:r>
    </w:p>
    <w:p w:rsidR="00511F8F" w:rsidRPr="00672447"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672447">
        <w:rPr>
          <w:rFonts w:ascii="Century Gothic" w:hAnsi="Century Gothic" w:cs="Arial"/>
          <w:i/>
          <w:iCs/>
          <w:sz w:val="20"/>
          <w:szCs w:val="22"/>
        </w:rPr>
        <w:t>II - cumprimento dos deveres e obrigações do servidor público, com estrita observância da ética profissional;</w:t>
      </w:r>
    </w:p>
    <w:p w:rsidR="00511F8F" w:rsidRPr="00672447"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672447">
        <w:rPr>
          <w:rFonts w:ascii="Century Gothic" w:hAnsi="Century Gothic" w:cs="Arial"/>
          <w:i/>
          <w:iCs/>
          <w:sz w:val="20"/>
          <w:szCs w:val="22"/>
        </w:rPr>
        <w:t>III - análise dos relatórios que documentam as atividades científico-acadêmicas e administrativas programadas no plano de trabalho da unidade de exercício e apresentadas pelo docente, em cada etapa de avaliação;</w:t>
      </w:r>
    </w:p>
    <w:p w:rsidR="00511F8F" w:rsidRPr="00672447"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672447">
        <w:rPr>
          <w:rFonts w:ascii="Century Gothic" w:hAnsi="Century Gothic" w:cs="Arial"/>
          <w:i/>
          <w:iCs/>
          <w:sz w:val="20"/>
          <w:szCs w:val="22"/>
        </w:rPr>
        <w:t>IV - a assiduidade, a disciplina, o desempenho didático-pedagógico, a capacidade de iniciativa, produtividade e responsabilidade;</w:t>
      </w:r>
    </w:p>
    <w:p w:rsidR="00511F8F" w:rsidRPr="00672447"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672447">
        <w:rPr>
          <w:rFonts w:ascii="Century Gothic" w:hAnsi="Century Gothic" w:cs="Arial"/>
          <w:i/>
          <w:iCs/>
          <w:sz w:val="20"/>
          <w:szCs w:val="22"/>
        </w:rPr>
        <w:t>V - participação no Programa de Recepção de Docentes instituído pela IFE; e</w:t>
      </w:r>
    </w:p>
    <w:p w:rsidR="00511F8F" w:rsidRPr="00672447"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672447">
        <w:rPr>
          <w:rFonts w:ascii="Century Gothic" w:hAnsi="Century Gothic" w:cs="Arial"/>
          <w:i/>
          <w:iCs/>
          <w:sz w:val="20"/>
          <w:szCs w:val="22"/>
        </w:rPr>
        <w:t>VI - avaliação pelos discentes, conforme normatização própria da IFE.</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Basta uma simples análise do texto normativo para se constatar que, além dos cinco fatores enumerados pelo Estatuto dos Servidores Civis da União, a Lei nº 12.772/2012 arrolou mais seis, num total de onze elementos que serão objeto de apreciação durante o estágio probatório.</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lastRenderedPageBreak/>
        <w:t>Eis a listagem completa:</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Pr="003445ED" w:rsidRDefault="00511F8F" w:rsidP="00511F8F">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Arial"/>
          <w:iCs/>
          <w:szCs w:val="22"/>
        </w:rPr>
      </w:pPr>
      <w:r w:rsidRPr="003445ED">
        <w:rPr>
          <w:rFonts w:ascii="Century Gothic" w:hAnsi="Century Gothic" w:cs="Arial"/>
          <w:iCs/>
          <w:szCs w:val="22"/>
        </w:rPr>
        <w:t>Adaptação ao trabalho;</w:t>
      </w:r>
    </w:p>
    <w:p w:rsidR="00511F8F" w:rsidRPr="003445ED" w:rsidRDefault="00511F8F" w:rsidP="00511F8F">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Arial"/>
          <w:iCs/>
          <w:szCs w:val="22"/>
        </w:rPr>
      </w:pPr>
      <w:r w:rsidRPr="003445ED">
        <w:rPr>
          <w:rFonts w:ascii="Century Gothic" w:hAnsi="Century Gothic" w:cs="Arial"/>
          <w:iCs/>
          <w:szCs w:val="22"/>
        </w:rPr>
        <w:t>Cumprimento dos deveres e obrigações do servidor público;</w:t>
      </w:r>
    </w:p>
    <w:p w:rsidR="00511F8F" w:rsidRPr="003445ED" w:rsidRDefault="00511F8F" w:rsidP="00511F8F">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91"/>
        <w:jc w:val="both"/>
        <w:rPr>
          <w:rFonts w:ascii="Century Gothic" w:hAnsi="Century Gothic" w:cs="Arial"/>
          <w:iCs/>
          <w:szCs w:val="22"/>
        </w:rPr>
      </w:pPr>
      <w:r w:rsidRPr="003445ED">
        <w:rPr>
          <w:rFonts w:ascii="Century Gothic" w:hAnsi="Century Gothic" w:cs="Arial"/>
          <w:iCs/>
          <w:szCs w:val="22"/>
        </w:rPr>
        <w:t>Análise dos relatórios que documentam as atividades científico-acadêmicas e administrativas programadas no plano de trabalho da unidade de exercício e apresentadas pelo docente;</w:t>
      </w:r>
    </w:p>
    <w:p w:rsidR="00511F8F" w:rsidRPr="003445ED" w:rsidRDefault="00511F8F" w:rsidP="00511F8F">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Arial"/>
          <w:iCs/>
          <w:szCs w:val="22"/>
        </w:rPr>
      </w:pPr>
      <w:r w:rsidRPr="003445ED">
        <w:rPr>
          <w:rFonts w:ascii="Century Gothic" w:hAnsi="Century Gothic" w:cs="Arial"/>
          <w:iCs/>
          <w:szCs w:val="22"/>
        </w:rPr>
        <w:t>Assiduidade;</w:t>
      </w:r>
    </w:p>
    <w:p w:rsidR="00511F8F" w:rsidRPr="003445ED" w:rsidRDefault="00511F8F" w:rsidP="00511F8F">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Arial"/>
          <w:iCs/>
          <w:szCs w:val="22"/>
        </w:rPr>
      </w:pPr>
      <w:r w:rsidRPr="003445ED">
        <w:rPr>
          <w:rFonts w:ascii="Century Gothic" w:hAnsi="Century Gothic" w:cs="Arial"/>
          <w:iCs/>
          <w:szCs w:val="22"/>
        </w:rPr>
        <w:t>Disciplina;</w:t>
      </w:r>
    </w:p>
    <w:p w:rsidR="00511F8F" w:rsidRPr="003445ED" w:rsidRDefault="00511F8F" w:rsidP="00511F8F">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Arial"/>
          <w:iCs/>
          <w:szCs w:val="22"/>
        </w:rPr>
      </w:pPr>
      <w:r w:rsidRPr="003445ED">
        <w:rPr>
          <w:rFonts w:ascii="Century Gothic" w:hAnsi="Century Gothic" w:cs="Arial"/>
          <w:iCs/>
          <w:szCs w:val="22"/>
        </w:rPr>
        <w:t>Desempenho didático-pedagógico;</w:t>
      </w:r>
    </w:p>
    <w:p w:rsidR="00511F8F" w:rsidRPr="003445ED" w:rsidRDefault="00511F8F" w:rsidP="00511F8F">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Arial"/>
          <w:iCs/>
          <w:szCs w:val="22"/>
        </w:rPr>
      </w:pPr>
      <w:r w:rsidRPr="003445ED">
        <w:rPr>
          <w:rFonts w:ascii="Century Gothic" w:hAnsi="Century Gothic" w:cs="Arial"/>
          <w:iCs/>
          <w:szCs w:val="22"/>
        </w:rPr>
        <w:t>Capacidade de iniciativa;</w:t>
      </w:r>
    </w:p>
    <w:p w:rsidR="00511F8F" w:rsidRPr="003445ED" w:rsidRDefault="00511F8F" w:rsidP="00511F8F">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Arial"/>
          <w:iCs/>
          <w:szCs w:val="22"/>
        </w:rPr>
      </w:pPr>
      <w:r w:rsidRPr="003445ED">
        <w:rPr>
          <w:rFonts w:ascii="Century Gothic" w:hAnsi="Century Gothic" w:cs="Arial"/>
          <w:iCs/>
          <w:szCs w:val="22"/>
        </w:rPr>
        <w:t>Produtividade;</w:t>
      </w:r>
    </w:p>
    <w:p w:rsidR="00511F8F" w:rsidRPr="003445ED" w:rsidRDefault="00511F8F" w:rsidP="00511F8F">
      <w:pPr>
        <w:numPr>
          <w:ilvl w:val="0"/>
          <w:numId w:val="1"/>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Arial"/>
          <w:iCs/>
          <w:szCs w:val="22"/>
        </w:rPr>
      </w:pPr>
      <w:r w:rsidRPr="003445ED">
        <w:rPr>
          <w:rFonts w:ascii="Century Gothic" w:hAnsi="Century Gothic" w:cs="Arial"/>
          <w:iCs/>
          <w:szCs w:val="22"/>
        </w:rPr>
        <w:t>Responsabilidade;</w:t>
      </w:r>
    </w:p>
    <w:p w:rsidR="00511F8F" w:rsidRPr="003445ED" w:rsidRDefault="00511F8F" w:rsidP="00511F8F">
      <w:pPr>
        <w:numPr>
          <w:ilvl w:val="0"/>
          <w:numId w:val="1"/>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91"/>
        <w:jc w:val="both"/>
        <w:rPr>
          <w:rFonts w:ascii="Century Gothic" w:hAnsi="Century Gothic" w:cs="Arial"/>
          <w:iCs/>
          <w:szCs w:val="22"/>
        </w:rPr>
      </w:pPr>
      <w:r w:rsidRPr="003445ED">
        <w:rPr>
          <w:rFonts w:ascii="Century Gothic" w:hAnsi="Century Gothic" w:cs="Arial"/>
          <w:iCs/>
          <w:szCs w:val="22"/>
        </w:rPr>
        <w:t>Participação no Programa de Recepção de Docentes;</w:t>
      </w:r>
    </w:p>
    <w:p w:rsidR="00511F8F" w:rsidRPr="003445ED" w:rsidRDefault="00511F8F" w:rsidP="00511F8F">
      <w:pPr>
        <w:numPr>
          <w:ilvl w:val="0"/>
          <w:numId w:val="1"/>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851" w:hanging="491"/>
        <w:jc w:val="both"/>
        <w:rPr>
          <w:rFonts w:ascii="Century Gothic" w:hAnsi="Century Gothic" w:cs="Arial"/>
          <w:iCs/>
          <w:szCs w:val="22"/>
        </w:rPr>
      </w:pPr>
      <w:r w:rsidRPr="003445ED">
        <w:rPr>
          <w:rFonts w:ascii="Century Gothic" w:hAnsi="Century Gothic" w:cs="Arial"/>
          <w:iCs/>
          <w:szCs w:val="22"/>
        </w:rPr>
        <w:t>Avaliação dos discentes.</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 xml:space="preserve">  </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A análise do desempenho de todo ocupante de cargo de magistério do ensino superior deverá, impreterivelmente, passar por todos esses fatores para atingir um resultado final. A ausência de qualquer um deles fatalmente acarretará a nulidade do procedimento avaliativo.</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 xml:space="preserve">Por consequência lógica, qualquer avaliação de estágio probatório que leve em conta somente um dos fatores acima declinados, olvidando dos demais, estará irremediavelmente maculado por vício de </w:t>
      </w:r>
      <w:r w:rsidR="0058670D">
        <w:rPr>
          <w:rFonts w:ascii="Century Gothic" w:hAnsi="Century Gothic" w:cs="Arial"/>
          <w:iCs/>
          <w:szCs w:val="22"/>
        </w:rPr>
        <w:t>ilicitude</w:t>
      </w:r>
      <w:r>
        <w:rPr>
          <w:rFonts w:ascii="Century Gothic" w:hAnsi="Century Gothic" w:cs="Arial"/>
          <w:iCs/>
          <w:szCs w:val="22"/>
        </w:rPr>
        <w:t xml:space="preserve">. </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Ainda que os elementos trazidos pelo artigo 24 da Lei nº 12.772/2012 possam, cada um à sua maneira, influenciar no resultado da avaliação de desempenho, eles não tem a capacidade de, isoladamente, motivar uma reprovação no período probatório. Todos os fatores devem ser sistematicamente ponderados para, a partir daí, obter-se uma conclusão final.</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 xml:space="preserve">Mostra-se intuitivo, portanto, que a </w:t>
      </w:r>
      <w:r w:rsidR="0058670D">
        <w:rPr>
          <w:rFonts w:ascii="Century Gothic" w:hAnsi="Century Gothic" w:cs="Arial"/>
          <w:iCs/>
          <w:szCs w:val="22"/>
        </w:rPr>
        <w:t xml:space="preserve">efetiva </w:t>
      </w:r>
      <w:r>
        <w:rPr>
          <w:rFonts w:ascii="Century Gothic" w:hAnsi="Century Gothic" w:cs="Arial"/>
          <w:iCs/>
          <w:szCs w:val="22"/>
        </w:rPr>
        <w:t xml:space="preserve">participação em </w:t>
      </w:r>
      <w:r w:rsidRPr="00BE53C9">
        <w:rPr>
          <w:rFonts w:ascii="Century Gothic" w:hAnsi="Century Gothic" w:cs="Arial"/>
          <w:iCs/>
          <w:szCs w:val="22"/>
        </w:rPr>
        <w:t>Programa de Recepção de Docentes</w:t>
      </w:r>
      <w:r>
        <w:rPr>
          <w:rFonts w:ascii="Century Gothic" w:hAnsi="Century Gothic" w:cs="Arial"/>
          <w:iCs/>
          <w:szCs w:val="22"/>
        </w:rPr>
        <w:t xml:space="preserve"> instituído pela Instituição Federal de Ensino (artigo 24, V, Lei nº 12.772/2012) não é decisiva para aprovação do docente no estágio probatório. A pontuação obtida nos outros fatores de análise podem obviamente suprir eventual deficiência nesse quesito, desde que a avaliação, num plano geral, mostre-se satisfatória.</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lastRenderedPageBreak/>
        <w:t>Qualquer tentativa de transformar o referido elemento em ponto capital da avaliação de desempenho será indiscutivelmente manchada pela pecha de ilegalidade, até porque a norma de regência não estabelece a primazia de um fator em detrimento do outro, devendo todos ser igualmente sopesados durante o procedimento avaliativo.</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Pr="001C0B6B"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Ora, e</w:t>
      </w:r>
      <w:r w:rsidRPr="001C0B6B">
        <w:rPr>
          <w:rFonts w:ascii="Century Gothic" w:hAnsi="Century Gothic" w:cs="Arial"/>
          <w:iCs/>
          <w:szCs w:val="22"/>
        </w:rPr>
        <w:t>m obediência ao princípio da legalidade estrita (artigo 37, caput, da Constituição Federal)</w:t>
      </w:r>
      <w:r>
        <w:rPr>
          <w:rFonts w:ascii="Century Gothic" w:hAnsi="Century Gothic" w:cs="Arial"/>
          <w:iCs/>
          <w:szCs w:val="22"/>
        </w:rPr>
        <w:t>,</w:t>
      </w:r>
      <w:r w:rsidRPr="001C0B6B">
        <w:rPr>
          <w:rFonts w:ascii="Century Gothic" w:hAnsi="Century Gothic" w:cs="Arial"/>
          <w:iCs/>
          <w:szCs w:val="22"/>
        </w:rPr>
        <w:t xml:space="preserve"> a Administração </w:t>
      </w:r>
      <w:r>
        <w:rPr>
          <w:rFonts w:ascii="Century Gothic" w:hAnsi="Century Gothic" w:cs="Arial"/>
          <w:iCs/>
          <w:szCs w:val="22"/>
        </w:rPr>
        <w:t xml:space="preserve">Pública </w:t>
      </w:r>
      <w:r w:rsidRPr="001C0B6B">
        <w:rPr>
          <w:rFonts w:ascii="Century Gothic" w:hAnsi="Century Gothic" w:cs="Arial"/>
          <w:iCs/>
          <w:szCs w:val="22"/>
        </w:rPr>
        <w:t>está, em toda a sua atividade, adstrita aos ditames da lei, não podendo dar interpretação extensiva ou restritiva, se a norma assim não dispuser. Des</w:t>
      </w:r>
      <w:r>
        <w:rPr>
          <w:rFonts w:ascii="Century Gothic" w:hAnsi="Century Gothic" w:cs="Arial"/>
          <w:iCs/>
          <w:szCs w:val="22"/>
        </w:rPr>
        <w:t>s</w:t>
      </w:r>
      <w:r w:rsidRPr="001C0B6B">
        <w:rPr>
          <w:rFonts w:ascii="Century Gothic" w:hAnsi="Century Gothic" w:cs="Arial"/>
          <w:iCs/>
          <w:szCs w:val="22"/>
        </w:rPr>
        <w:t xml:space="preserve">e modo, a lei funciona como balizamento mínimo e máximo na atuação estatal, não podendo </w:t>
      </w:r>
      <w:r>
        <w:rPr>
          <w:rFonts w:ascii="Century Gothic" w:hAnsi="Century Gothic" w:cs="Arial"/>
          <w:iCs/>
          <w:szCs w:val="22"/>
        </w:rPr>
        <w:t>o administrador</w:t>
      </w:r>
      <w:r w:rsidRPr="001C0B6B">
        <w:rPr>
          <w:rFonts w:ascii="Century Gothic" w:hAnsi="Century Gothic" w:cs="Arial"/>
          <w:iCs/>
          <w:szCs w:val="22"/>
        </w:rPr>
        <w:t xml:space="preserve"> </w:t>
      </w:r>
      <w:r>
        <w:rPr>
          <w:rFonts w:ascii="Century Gothic" w:hAnsi="Century Gothic" w:cs="Arial"/>
          <w:iCs/>
          <w:szCs w:val="22"/>
        </w:rPr>
        <w:t xml:space="preserve">se </w:t>
      </w:r>
      <w:r w:rsidRPr="001C0B6B">
        <w:rPr>
          <w:rFonts w:ascii="Century Gothic" w:hAnsi="Century Gothic" w:cs="Arial"/>
          <w:iCs/>
          <w:szCs w:val="22"/>
        </w:rPr>
        <w:t>desvincular dos estreitos contornos por ela erigidos (STJ, REsp 603.010⁄PB, Rel. Min. Gilson Dipp).</w:t>
      </w:r>
    </w:p>
    <w:p w:rsidR="00511F8F" w:rsidRPr="001C0B6B"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Pr="001C0B6B"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sidRPr="001C0B6B">
        <w:rPr>
          <w:rFonts w:ascii="Century Gothic" w:hAnsi="Century Gothic" w:cs="Arial"/>
          <w:iCs/>
          <w:szCs w:val="22"/>
        </w:rPr>
        <w:t>Conforme ponderado pelo saudoso doutrinador HELY LOPES MEIRELLES (</w:t>
      </w:r>
      <w:r w:rsidRPr="005376BF">
        <w:rPr>
          <w:rFonts w:ascii="Century Gothic" w:hAnsi="Century Gothic" w:cs="Arial"/>
          <w:i/>
          <w:iCs/>
          <w:szCs w:val="22"/>
        </w:rPr>
        <w:t>in</w:t>
      </w:r>
      <w:r w:rsidRPr="001C0B6B">
        <w:rPr>
          <w:rFonts w:ascii="Century Gothic" w:hAnsi="Century Gothic" w:cs="Arial"/>
          <w:iCs/>
          <w:szCs w:val="22"/>
        </w:rPr>
        <w:t xml:space="preserve"> Direito Administrativo Brasileiro. Malheiros Editores, 24ª ed., p. 82):</w:t>
      </w:r>
    </w:p>
    <w:p w:rsidR="00511F8F" w:rsidRPr="001C0B6B"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Pr="001C0B6B"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Cs w:val="22"/>
        </w:rPr>
      </w:pPr>
      <w:r w:rsidRPr="005376BF">
        <w:rPr>
          <w:rFonts w:ascii="Century Gothic" w:hAnsi="Century Gothic" w:cs="Arial"/>
          <w:i/>
          <w:iCs/>
          <w:sz w:val="20"/>
          <w:szCs w:val="22"/>
        </w:rPr>
        <w:t>A legalidade, como princípio da Administração (CF, art. 37, caput), significa que o administrador público está, em toda a sua atividade funcional, sujeito aos mandamentos da lei e às exigências do bem comum, e deles não se pode afastar ou desviar, sob pena de praticar ato inválido e expor-se a responsabilidade disciplinar, civil e criminal, conforme o caso.</w:t>
      </w:r>
    </w:p>
    <w:p w:rsidR="00511F8F" w:rsidRPr="001C0B6B"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Pr="001C0B6B"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sidRPr="001C0B6B">
        <w:rPr>
          <w:rFonts w:ascii="Century Gothic" w:hAnsi="Century Gothic" w:cs="Arial"/>
          <w:iCs/>
          <w:szCs w:val="22"/>
        </w:rPr>
        <w:t>A eficácia de toda a atividade administrativa está</w:t>
      </w:r>
      <w:r>
        <w:rPr>
          <w:rFonts w:ascii="Century Gothic" w:hAnsi="Century Gothic" w:cs="Arial"/>
          <w:iCs/>
          <w:szCs w:val="22"/>
        </w:rPr>
        <w:t>, dessa forma,</w:t>
      </w:r>
      <w:r w:rsidRPr="001C0B6B">
        <w:rPr>
          <w:rFonts w:ascii="Century Gothic" w:hAnsi="Century Gothic" w:cs="Arial"/>
          <w:iCs/>
          <w:szCs w:val="22"/>
        </w:rPr>
        <w:t xml:space="preserve"> condicionada ao atendimento da lei.</w:t>
      </w:r>
    </w:p>
    <w:p w:rsidR="00511F8F" w:rsidRPr="001C0B6B"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Pr="001C0B6B"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sidRPr="001C0B6B">
        <w:rPr>
          <w:rFonts w:ascii="Century Gothic" w:hAnsi="Century Gothic" w:cs="Arial"/>
          <w:iCs/>
          <w:szCs w:val="22"/>
        </w:rPr>
        <w:t>N</w:t>
      </w:r>
      <w:r>
        <w:rPr>
          <w:rFonts w:ascii="Century Gothic" w:hAnsi="Century Gothic" w:cs="Arial"/>
          <w:iCs/>
          <w:szCs w:val="22"/>
        </w:rPr>
        <w:t>o âmbito da</w:t>
      </w:r>
      <w:r w:rsidRPr="001C0B6B">
        <w:rPr>
          <w:rFonts w:ascii="Century Gothic" w:hAnsi="Century Gothic" w:cs="Arial"/>
          <w:iCs/>
          <w:szCs w:val="22"/>
        </w:rPr>
        <w:t xml:space="preserve"> Administração Pública não há liberdade nem vontade pessoal. Enquanto na administração particular é lícito fazer tudo o que a lei não proíbe, </w:t>
      </w:r>
      <w:r>
        <w:rPr>
          <w:rFonts w:ascii="Century Gothic" w:hAnsi="Century Gothic" w:cs="Arial"/>
          <w:iCs/>
          <w:szCs w:val="22"/>
        </w:rPr>
        <w:t>ao administrador público</w:t>
      </w:r>
      <w:r w:rsidRPr="001C0B6B">
        <w:rPr>
          <w:rFonts w:ascii="Century Gothic" w:hAnsi="Century Gothic" w:cs="Arial"/>
          <w:iCs/>
          <w:szCs w:val="22"/>
        </w:rPr>
        <w:t xml:space="preserve"> só é permitido fazer o que a lei autoriza. A lei para o particular significa </w:t>
      </w:r>
      <w:r w:rsidRPr="005376BF">
        <w:rPr>
          <w:rFonts w:ascii="Century Gothic" w:hAnsi="Century Gothic" w:cs="Arial"/>
          <w:i/>
          <w:iCs/>
          <w:szCs w:val="22"/>
        </w:rPr>
        <w:t>“pode fazer assim”</w:t>
      </w:r>
      <w:r w:rsidRPr="001C0B6B">
        <w:rPr>
          <w:rFonts w:ascii="Century Gothic" w:hAnsi="Century Gothic" w:cs="Arial"/>
          <w:iCs/>
          <w:szCs w:val="22"/>
        </w:rPr>
        <w:t xml:space="preserve">; para o administrador público significa </w:t>
      </w:r>
      <w:r w:rsidRPr="005376BF">
        <w:rPr>
          <w:rFonts w:ascii="Century Gothic" w:hAnsi="Century Gothic" w:cs="Arial"/>
          <w:i/>
          <w:iCs/>
          <w:szCs w:val="22"/>
        </w:rPr>
        <w:t>“deve fazer assim”</w:t>
      </w:r>
      <w:r w:rsidRPr="001C0B6B">
        <w:rPr>
          <w:rFonts w:ascii="Century Gothic" w:hAnsi="Century Gothic" w:cs="Arial"/>
          <w:iCs/>
          <w:szCs w:val="22"/>
        </w:rPr>
        <w:t>.</w:t>
      </w:r>
    </w:p>
    <w:p w:rsidR="00511F8F" w:rsidRPr="001C0B6B"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Pr="001C0B6B"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sidRPr="001C0B6B">
        <w:rPr>
          <w:rFonts w:ascii="Century Gothic" w:hAnsi="Century Gothic" w:cs="Arial"/>
          <w:iCs/>
          <w:szCs w:val="22"/>
        </w:rPr>
        <w:t>Des</w:t>
      </w:r>
      <w:r>
        <w:rPr>
          <w:rFonts w:ascii="Century Gothic" w:hAnsi="Century Gothic" w:cs="Arial"/>
          <w:iCs/>
          <w:szCs w:val="22"/>
        </w:rPr>
        <w:t>s</w:t>
      </w:r>
      <w:r w:rsidRPr="001C0B6B">
        <w:rPr>
          <w:rFonts w:ascii="Century Gothic" w:hAnsi="Century Gothic" w:cs="Arial"/>
          <w:iCs/>
          <w:szCs w:val="22"/>
        </w:rPr>
        <w:t>a forma, a atividade administrativa deve não apenas ser desempenhada sem contraste com a lei, mas, antes, só pode ser exercida nos exatos termos da autorização contida no sistema legal.</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sidRPr="005376BF">
        <w:rPr>
          <w:rFonts w:ascii="Century Gothic" w:hAnsi="Century Gothic" w:cs="Arial"/>
          <w:iCs/>
          <w:szCs w:val="22"/>
        </w:rPr>
        <w:t xml:space="preserve">Pois bem, inexistindo norma prévia, clara e expressa </w:t>
      </w:r>
      <w:r>
        <w:rPr>
          <w:rFonts w:ascii="Century Gothic" w:hAnsi="Century Gothic" w:cs="Arial"/>
          <w:iCs/>
          <w:szCs w:val="22"/>
        </w:rPr>
        <w:t xml:space="preserve">autorizando a utilização de somente um dos fatores verificados no estágio probatório como fundamental para a avaliação de desempenho do servidor, é defeso </w:t>
      </w:r>
      <w:r>
        <w:rPr>
          <w:rFonts w:ascii="Century Gothic" w:hAnsi="Century Gothic" w:cs="Arial"/>
          <w:iCs/>
          <w:szCs w:val="22"/>
        </w:rPr>
        <w:lastRenderedPageBreak/>
        <w:t xml:space="preserve">à Administração promover condutas nesse sentido, mormente quando a lei sequer prevê a possibilidade de hierarquização dos elementos arrolados. </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 xml:space="preserve">Dessarte, conquanto seja altamente recomendada a participação no Programa de Recepção dos Docentes instituído pela IFE, posto que tal atividade será necessariamente utilizada como critério de avaliação do desempenho do servidor, ajudando na composição da sua pontuação definitiva, o implemento insuficiente ou incompleto desse fator de observação não tem o condão de motivar, </w:t>
      </w:r>
      <w:r w:rsidRPr="007F5BF6">
        <w:rPr>
          <w:rFonts w:ascii="Century Gothic" w:hAnsi="Century Gothic" w:cs="Arial"/>
          <w:b/>
          <w:iCs/>
          <w:szCs w:val="22"/>
        </w:rPr>
        <w:t>por si só</w:t>
      </w:r>
      <w:r>
        <w:rPr>
          <w:rFonts w:ascii="Century Gothic" w:hAnsi="Century Gothic" w:cs="Arial"/>
          <w:iCs/>
          <w:szCs w:val="22"/>
        </w:rPr>
        <w:t>, uma reprovação no estágio probatório.</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 xml:space="preserve">Aliás, nem mesmo a Portaria nº 547/2012, expedida pela </w:t>
      </w:r>
      <w:proofErr w:type="spellStart"/>
      <w:r>
        <w:rPr>
          <w:rFonts w:ascii="Century Gothic" w:hAnsi="Century Gothic" w:cs="Arial"/>
          <w:iCs/>
          <w:szCs w:val="22"/>
        </w:rPr>
        <w:t>Pró-Reitoria</w:t>
      </w:r>
      <w:proofErr w:type="spellEnd"/>
      <w:r>
        <w:rPr>
          <w:rFonts w:ascii="Century Gothic" w:hAnsi="Century Gothic" w:cs="Arial"/>
          <w:iCs/>
          <w:szCs w:val="22"/>
        </w:rPr>
        <w:t xml:space="preserve"> de Recursos Humanos no intuito de regulamentar o </w:t>
      </w:r>
      <w:r w:rsidRPr="00016A24">
        <w:rPr>
          <w:rFonts w:ascii="Century Gothic" w:hAnsi="Century Gothic" w:cs="Arial"/>
          <w:iCs/>
          <w:szCs w:val="22"/>
        </w:rPr>
        <w:t xml:space="preserve">procedimento de avaliação do </w:t>
      </w:r>
      <w:r>
        <w:rPr>
          <w:rFonts w:ascii="Century Gothic" w:hAnsi="Century Gothic" w:cs="Arial"/>
          <w:iCs/>
          <w:szCs w:val="22"/>
        </w:rPr>
        <w:t>e</w:t>
      </w:r>
      <w:r w:rsidRPr="00016A24">
        <w:rPr>
          <w:rFonts w:ascii="Century Gothic" w:hAnsi="Century Gothic" w:cs="Arial"/>
          <w:iCs/>
          <w:szCs w:val="22"/>
        </w:rPr>
        <w:t xml:space="preserve">stágio </w:t>
      </w:r>
      <w:r>
        <w:rPr>
          <w:rFonts w:ascii="Century Gothic" w:hAnsi="Century Gothic" w:cs="Arial"/>
          <w:iCs/>
          <w:szCs w:val="22"/>
        </w:rPr>
        <w:t>p</w:t>
      </w:r>
      <w:r w:rsidRPr="00016A24">
        <w:rPr>
          <w:rFonts w:ascii="Century Gothic" w:hAnsi="Century Gothic" w:cs="Arial"/>
          <w:iCs/>
          <w:szCs w:val="22"/>
        </w:rPr>
        <w:t>robatório dos</w:t>
      </w:r>
      <w:r>
        <w:rPr>
          <w:rFonts w:ascii="Century Gothic" w:hAnsi="Century Gothic" w:cs="Arial"/>
          <w:iCs/>
          <w:szCs w:val="22"/>
        </w:rPr>
        <w:t xml:space="preserve"> s</w:t>
      </w:r>
      <w:r w:rsidRPr="00016A24">
        <w:rPr>
          <w:rFonts w:ascii="Century Gothic" w:hAnsi="Century Gothic" w:cs="Arial"/>
          <w:iCs/>
          <w:szCs w:val="22"/>
        </w:rPr>
        <w:t xml:space="preserve">ervidores </w:t>
      </w:r>
      <w:r>
        <w:rPr>
          <w:rFonts w:ascii="Century Gothic" w:hAnsi="Century Gothic" w:cs="Arial"/>
          <w:iCs/>
          <w:szCs w:val="22"/>
        </w:rPr>
        <w:t>d</w:t>
      </w:r>
      <w:r w:rsidRPr="00016A24">
        <w:rPr>
          <w:rFonts w:ascii="Century Gothic" w:hAnsi="Century Gothic" w:cs="Arial"/>
          <w:iCs/>
          <w:szCs w:val="22"/>
        </w:rPr>
        <w:t>ocentes da U</w:t>
      </w:r>
      <w:r>
        <w:rPr>
          <w:rFonts w:ascii="Century Gothic" w:hAnsi="Century Gothic" w:cs="Arial"/>
          <w:iCs/>
          <w:szCs w:val="22"/>
        </w:rPr>
        <w:t>niversidade de Juiz de Fora, produziu um escalonamento dos fatores a serem verificados na avaliação de desempenho, deixando claro que todos têm sua importância, não podendo ser utilizados solitariamente para motivar eventual reprovação no estágio probatório.</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r>
        <w:rPr>
          <w:rFonts w:ascii="Century Gothic" w:hAnsi="Century Gothic" w:cs="Arial"/>
          <w:iCs/>
          <w:szCs w:val="22"/>
        </w:rPr>
        <w:t>Veja-se, por pertinente, o disposto no Capítulo I da referida Portaria:</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40"/>
        <w:jc w:val="both"/>
        <w:rPr>
          <w:rFonts w:ascii="Century Gothic" w:hAnsi="Century Gothic" w:cs="Arial"/>
          <w:iCs/>
          <w:szCs w:val="22"/>
        </w:rPr>
      </w:pPr>
    </w:p>
    <w:p w:rsidR="00511F8F" w:rsidRPr="00877181"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center"/>
        <w:rPr>
          <w:rFonts w:ascii="Century Gothic" w:hAnsi="Century Gothic" w:cs="Arial"/>
          <w:bCs/>
          <w:i/>
          <w:iCs/>
          <w:sz w:val="20"/>
          <w:szCs w:val="22"/>
        </w:rPr>
      </w:pPr>
      <w:r w:rsidRPr="00877181">
        <w:rPr>
          <w:rFonts w:ascii="Century Gothic" w:hAnsi="Century Gothic" w:cs="Arial"/>
          <w:bCs/>
          <w:i/>
          <w:iCs/>
          <w:sz w:val="20"/>
          <w:szCs w:val="22"/>
        </w:rPr>
        <w:t>CAPÍTULO I - DO PROCEDIMENTO DE AVALIAÇÃO</w:t>
      </w: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center"/>
        <w:rPr>
          <w:rFonts w:ascii="Century Gothic" w:hAnsi="Century Gothic" w:cs="Arial"/>
          <w:b/>
          <w:bCs/>
          <w:i/>
          <w:iCs/>
          <w:sz w:val="20"/>
          <w:szCs w:val="22"/>
        </w:rPr>
      </w:pP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Art. 1</w:t>
      </w:r>
      <w:r>
        <w:rPr>
          <w:rFonts w:ascii="Century Gothic" w:hAnsi="Century Gothic" w:cs="Arial"/>
          <w:i/>
          <w:iCs/>
          <w:sz w:val="20"/>
          <w:szCs w:val="22"/>
        </w:rPr>
        <w:t>º</w:t>
      </w:r>
      <w:r w:rsidRPr="000F2CDC">
        <w:rPr>
          <w:rFonts w:ascii="Century Gothic" w:hAnsi="Century Gothic" w:cs="Arial"/>
          <w:i/>
          <w:iCs/>
          <w:sz w:val="20"/>
          <w:szCs w:val="22"/>
        </w:rPr>
        <w:t xml:space="preserve"> Todos os Servidores Docentes da UFJF serão submetidos ao estágio probatório, que terá</w:t>
      </w:r>
      <w:r>
        <w:rPr>
          <w:rFonts w:ascii="Century Gothic" w:hAnsi="Century Gothic" w:cs="Arial"/>
          <w:i/>
          <w:iCs/>
          <w:sz w:val="20"/>
          <w:szCs w:val="22"/>
        </w:rPr>
        <w:t xml:space="preserve"> </w:t>
      </w:r>
      <w:r w:rsidRPr="000F2CDC">
        <w:rPr>
          <w:rFonts w:ascii="Century Gothic" w:hAnsi="Century Gothic" w:cs="Arial"/>
          <w:i/>
          <w:iCs/>
          <w:sz w:val="20"/>
          <w:szCs w:val="22"/>
        </w:rPr>
        <w:t>a duração de 36 (trinta e seis) meses, contados da data da entrada em exercício no cargo.</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Art. 2</w:t>
      </w:r>
      <w:r>
        <w:rPr>
          <w:rFonts w:ascii="Century Gothic" w:hAnsi="Century Gothic" w:cs="Arial"/>
          <w:i/>
          <w:iCs/>
          <w:sz w:val="20"/>
          <w:szCs w:val="22"/>
        </w:rPr>
        <w:t>º</w:t>
      </w:r>
      <w:r w:rsidRPr="000F2CDC">
        <w:rPr>
          <w:rFonts w:ascii="Century Gothic" w:hAnsi="Century Gothic" w:cs="Arial"/>
          <w:i/>
          <w:iCs/>
          <w:sz w:val="20"/>
          <w:szCs w:val="22"/>
        </w:rPr>
        <w:t xml:space="preserve"> Para acompanhamento do estágio probatório, o Departamento no qual está lotado o</w:t>
      </w:r>
      <w:r>
        <w:rPr>
          <w:rFonts w:ascii="Century Gothic" w:hAnsi="Century Gothic" w:cs="Arial"/>
          <w:i/>
          <w:iCs/>
          <w:sz w:val="20"/>
          <w:szCs w:val="22"/>
        </w:rPr>
        <w:t xml:space="preserve"> </w:t>
      </w:r>
      <w:r w:rsidRPr="000F2CDC">
        <w:rPr>
          <w:rFonts w:ascii="Century Gothic" w:hAnsi="Century Gothic" w:cs="Arial"/>
          <w:i/>
          <w:iCs/>
          <w:sz w:val="20"/>
          <w:szCs w:val="22"/>
        </w:rPr>
        <w:t>docente formará uma Comissão de Avaliação composta por 03 (três) membros titulares e 01 (um)</w:t>
      </w:r>
      <w:r>
        <w:rPr>
          <w:rFonts w:ascii="Century Gothic" w:hAnsi="Century Gothic" w:cs="Arial"/>
          <w:i/>
          <w:iCs/>
          <w:sz w:val="20"/>
          <w:szCs w:val="22"/>
        </w:rPr>
        <w:t xml:space="preserve"> </w:t>
      </w:r>
      <w:r w:rsidRPr="000F2CDC">
        <w:rPr>
          <w:rFonts w:ascii="Century Gothic" w:hAnsi="Century Gothic" w:cs="Arial"/>
          <w:i/>
          <w:iCs/>
          <w:sz w:val="20"/>
          <w:szCs w:val="22"/>
        </w:rPr>
        <w:t>suplente, todos efetivos no quadro do Magistério da Universidade Federal de Juiz de Fora, estáveis e</w:t>
      </w:r>
      <w:r>
        <w:rPr>
          <w:rFonts w:ascii="Century Gothic" w:hAnsi="Century Gothic" w:cs="Arial"/>
          <w:i/>
          <w:iCs/>
          <w:sz w:val="20"/>
          <w:szCs w:val="22"/>
        </w:rPr>
        <w:t xml:space="preserve"> </w:t>
      </w:r>
      <w:r w:rsidRPr="000F2CDC">
        <w:rPr>
          <w:rFonts w:ascii="Century Gothic" w:hAnsi="Century Gothic" w:cs="Arial"/>
          <w:i/>
          <w:iCs/>
          <w:sz w:val="20"/>
          <w:szCs w:val="22"/>
        </w:rPr>
        <w:t>integrantes da Unidade Acadêmica de exercício do docente avaliado e do Colegiado do Curso no qual o</w:t>
      </w:r>
      <w:r>
        <w:rPr>
          <w:rFonts w:ascii="Century Gothic" w:hAnsi="Century Gothic" w:cs="Arial"/>
          <w:i/>
          <w:iCs/>
          <w:sz w:val="20"/>
          <w:szCs w:val="22"/>
        </w:rPr>
        <w:t xml:space="preserve"> </w:t>
      </w:r>
      <w:r w:rsidRPr="000F2CDC">
        <w:rPr>
          <w:rFonts w:ascii="Century Gothic" w:hAnsi="Century Gothic" w:cs="Arial"/>
          <w:i/>
          <w:iCs/>
          <w:sz w:val="20"/>
          <w:szCs w:val="22"/>
        </w:rPr>
        <w:t>docente ministra o maior número de aulas, de classe igual ou superior à do docente avaliado.</w:t>
      </w:r>
      <w:r>
        <w:rPr>
          <w:rFonts w:ascii="Century Gothic" w:hAnsi="Century Gothic" w:cs="Arial"/>
          <w:i/>
          <w:iCs/>
          <w:sz w:val="20"/>
          <w:szCs w:val="22"/>
        </w:rPr>
        <w:t xml:space="preserve"> </w:t>
      </w:r>
      <w:r w:rsidRPr="000F2CDC">
        <w:rPr>
          <w:rFonts w:ascii="Century Gothic" w:hAnsi="Century Gothic" w:cs="Arial"/>
          <w:i/>
          <w:iCs/>
          <w:sz w:val="20"/>
          <w:szCs w:val="22"/>
        </w:rPr>
        <w:t>§ 1º. Pelo menos um dos membros da Comissão de Avaliação deverá ter titulação igual ou</w:t>
      </w:r>
      <w:r>
        <w:rPr>
          <w:rFonts w:ascii="Century Gothic" w:hAnsi="Century Gothic" w:cs="Arial"/>
          <w:i/>
          <w:iCs/>
          <w:sz w:val="20"/>
          <w:szCs w:val="22"/>
        </w:rPr>
        <w:t xml:space="preserve"> </w:t>
      </w:r>
      <w:r w:rsidRPr="000F2CDC">
        <w:rPr>
          <w:rFonts w:ascii="Century Gothic" w:hAnsi="Century Gothic" w:cs="Arial"/>
          <w:i/>
          <w:iCs/>
          <w:sz w:val="20"/>
          <w:szCs w:val="22"/>
        </w:rPr>
        <w:t>superior àquela do docente avaliado.</w:t>
      </w:r>
      <w:r>
        <w:rPr>
          <w:rFonts w:ascii="Century Gothic" w:hAnsi="Century Gothic" w:cs="Arial"/>
          <w:i/>
          <w:iCs/>
          <w:sz w:val="20"/>
          <w:szCs w:val="22"/>
        </w:rPr>
        <w:t xml:space="preserve"> </w:t>
      </w:r>
      <w:r w:rsidRPr="000F2CDC">
        <w:rPr>
          <w:rFonts w:ascii="Century Gothic" w:hAnsi="Century Gothic" w:cs="Arial"/>
          <w:i/>
          <w:iCs/>
          <w:sz w:val="20"/>
          <w:szCs w:val="22"/>
        </w:rPr>
        <w:t>§ 2º. Os docentes da classe Titular, na inexistência de membros da mesma classe no</w:t>
      </w:r>
      <w:r>
        <w:rPr>
          <w:rFonts w:ascii="Century Gothic" w:hAnsi="Century Gothic" w:cs="Arial"/>
          <w:i/>
          <w:iCs/>
          <w:sz w:val="20"/>
          <w:szCs w:val="22"/>
        </w:rPr>
        <w:t xml:space="preserve"> </w:t>
      </w:r>
      <w:r w:rsidRPr="000F2CDC">
        <w:rPr>
          <w:rFonts w:ascii="Century Gothic" w:hAnsi="Century Gothic" w:cs="Arial"/>
          <w:i/>
          <w:iCs/>
          <w:sz w:val="20"/>
          <w:szCs w:val="22"/>
        </w:rPr>
        <w:t>departamento, poderão ser avaliados por membros da classe imediatamente inferior, exigindo-se,</w:t>
      </w:r>
      <w:r>
        <w:rPr>
          <w:rFonts w:ascii="Century Gothic" w:hAnsi="Century Gothic" w:cs="Arial"/>
          <w:i/>
          <w:iCs/>
          <w:sz w:val="20"/>
          <w:szCs w:val="22"/>
        </w:rPr>
        <w:t xml:space="preserve"> </w:t>
      </w:r>
      <w:r w:rsidRPr="000F2CDC">
        <w:rPr>
          <w:rFonts w:ascii="Century Gothic" w:hAnsi="Century Gothic" w:cs="Arial"/>
          <w:i/>
          <w:iCs/>
          <w:sz w:val="20"/>
          <w:szCs w:val="22"/>
        </w:rPr>
        <w:t xml:space="preserve">nesse caso, que todos os membros da Comissão de Avaliação tenham a mesma titulação. </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lastRenderedPageBreak/>
        <w:t>Art. 3</w:t>
      </w:r>
      <w:r>
        <w:rPr>
          <w:rFonts w:ascii="Century Gothic" w:hAnsi="Century Gothic" w:cs="Arial"/>
          <w:i/>
          <w:iCs/>
          <w:sz w:val="20"/>
          <w:szCs w:val="22"/>
        </w:rPr>
        <w:t xml:space="preserve">º </w:t>
      </w:r>
      <w:r w:rsidRPr="000F2CDC">
        <w:rPr>
          <w:rFonts w:ascii="Century Gothic" w:hAnsi="Century Gothic" w:cs="Arial"/>
          <w:i/>
          <w:iCs/>
          <w:sz w:val="20"/>
          <w:szCs w:val="22"/>
        </w:rPr>
        <w:t>Durante o período de estágio probatório, a Comissão de Avaliação, mediante avaliações</w:t>
      </w:r>
      <w:r>
        <w:rPr>
          <w:rFonts w:ascii="Century Gothic" w:hAnsi="Century Gothic" w:cs="Arial"/>
          <w:i/>
          <w:iCs/>
          <w:sz w:val="20"/>
          <w:szCs w:val="22"/>
        </w:rPr>
        <w:t xml:space="preserve"> </w:t>
      </w:r>
      <w:r w:rsidRPr="000F2CDC">
        <w:rPr>
          <w:rFonts w:ascii="Century Gothic" w:hAnsi="Century Gothic" w:cs="Arial"/>
          <w:i/>
          <w:iCs/>
          <w:sz w:val="20"/>
          <w:szCs w:val="22"/>
        </w:rPr>
        <w:t>parciais e final, aferirá a aptidão e a capacidade do Docente para o desempenho das atribuições da</w:t>
      </w:r>
      <w:r>
        <w:rPr>
          <w:rFonts w:ascii="Century Gothic" w:hAnsi="Century Gothic" w:cs="Arial"/>
          <w:i/>
          <w:iCs/>
          <w:sz w:val="20"/>
          <w:szCs w:val="22"/>
        </w:rPr>
        <w:t xml:space="preserve"> </w:t>
      </w:r>
      <w:r w:rsidRPr="000F2CDC">
        <w:rPr>
          <w:rFonts w:ascii="Century Gothic" w:hAnsi="Century Gothic" w:cs="Arial"/>
          <w:i/>
          <w:iCs/>
          <w:sz w:val="20"/>
          <w:szCs w:val="22"/>
        </w:rPr>
        <w:t>carreira do magistério, utilizando como parâmetros, além dos fatores assiduidade, disciplina,</w:t>
      </w:r>
      <w:r>
        <w:rPr>
          <w:rFonts w:ascii="Century Gothic" w:hAnsi="Century Gothic" w:cs="Arial"/>
          <w:i/>
          <w:iCs/>
          <w:sz w:val="20"/>
          <w:szCs w:val="22"/>
        </w:rPr>
        <w:t xml:space="preserve"> </w:t>
      </w:r>
      <w:r w:rsidRPr="000F2CDC">
        <w:rPr>
          <w:rFonts w:ascii="Century Gothic" w:hAnsi="Century Gothic" w:cs="Arial"/>
          <w:i/>
          <w:iCs/>
          <w:sz w:val="20"/>
          <w:szCs w:val="22"/>
        </w:rPr>
        <w:t xml:space="preserve">capacidade de iniciativa, produtividade e responsabilidade, os seguintes itens: </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I - adaptação do professor ao trabalho, verificada por meio de avaliação da capacidade e</w:t>
      </w:r>
      <w:r>
        <w:rPr>
          <w:rFonts w:ascii="Century Gothic" w:hAnsi="Century Gothic" w:cs="Arial"/>
          <w:i/>
          <w:iCs/>
          <w:sz w:val="20"/>
          <w:szCs w:val="22"/>
        </w:rPr>
        <w:t xml:space="preserve"> </w:t>
      </w:r>
      <w:r w:rsidRPr="000F2CDC">
        <w:rPr>
          <w:rFonts w:ascii="Century Gothic" w:hAnsi="Century Gothic" w:cs="Arial"/>
          <w:i/>
          <w:iCs/>
          <w:sz w:val="20"/>
          <w:szCs w:val="22"/>
        </w:rPr>
        <w:t xml:space="preserve">qualidade no desempenho das atribuições do cargo; </w:t>
      </w: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II - cumprimento dos deveres e obrigações do servidor público, com estrita observância da ética</w:t>
      </w:r>
      <w:r>
        <w:rPr>
          <w:rFonts w:ascii="Century Gothic" w:hAnsi="Century Gothic" w:cs="Arial"/>
          <w:i/>
          <w:iCs/>
          <w:sz w:val="20"/>
          <w:szCs w:val="22"/>
        </w:rPr>
        <w:t xml:space="preserve"> </w:t>
      </w:r>
      <w:r w:rsidRPr="000F2CDC">
        <w:rPr>
          <w:rFonts w:ascii="Century Gothic" w:hAnsi="Century Gothic" w:cs="Arial"/>
          <w:i/>
          <w:iCs/>
          <w:sz w:val="20"/>
          <w:szCs w:val="22"/>
        </w:rPr>
        <w:t xml:space="preserve">profissional; </w:t>
      </w: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III - análise dos relatórios que documentam as atividades científico-acadêmicas e</w:t>
      </w:r>
      <w:r>
        <w:rPr>
          <w:rFonts w:ascii="Century Gothic" w:hAnsi="Century Gothic" w:cs="Arial"/>
          <w:i/>
          <w:iCs/>
          <w:sz w:val="20"/>
          <w:szCs w:val="22"/>
        </w:rPr>
        <w:t xml:space="preserve"> </w:t>
      </w:r>
      <w:r w:rsidRPr="000F2CDC">
        <w:rPr>
          <w:rFonts w:ascii="Century Gothic" w:hAnsi="Century Gothic" w:cs="Arial"/>
          <w:i/>
          <w:iCs/>
          <w:sz w:val="20"/>
          <w:szCs w:val="22"/>
        </w:rPr>
        <w:t>administrativas programadas no plano de trabalho da unidade de exercício e apresentadas pelo</w:t>
      </w:r>
      <w:r>
        <w:rPr>
          <w:rFonts w:ascii="Century Gothic" w:hAnsi="Century Gothic" w:cs="Arial"/>
          <w:i/>
          <w:iCs/>
          <w:sz w:val="20"/>
          <w:szCs w:val="22"/>
        </w:rPr>
        <w:t xml:space="preserve"> </w:t>
      </w:r>
      <w:r w:rsidRPr="000F2CDC">
        <w:rPr>
          <w:rFonts w:ascii="Century Gothic" w:hAnsi="Century Gothic" w:cs="Arial"/>
          <w:i/>
          <w:iCs/>
          <w:sz w:val="20"/>
          <w:szCs w:val="22"/>
        </w:rPr>
        <w:t xml:space="preserve">docente, em cada etapa de avaliação; </w:t>
      </w: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IV - a assiduidade, a disciplina, o desempenho didático-pedagógico, a capacidade de iniciativa,</w:t>
      </w:r>
      <w:r>
        <w:rPr>
          <w:rFonts w:ascii="Century Gothic" w:hAnsi="Century Gothic" w:cs="Arial"/>
          <w:i/>
          <w:iCs/>
          <w:sz w:val="20"/>
          <w:szCs w:val="22"/>
        </w:rPr>
        <w:t xml:space="preserve"> </w:t>
      </w:r>
      <w:r w:rsidRPr="000F2CDC">
        <w:rPr>
          <w:rFonts w:ascii="Century Gothic" w:hAnsi="Century Gothic" w:cs="Arial"/>
          <w:i/>
          <w:iCs/>
          <w:sz w:val="20"/>
          <w:szCs w:val="22"/>
        </w:rPr>
        <w:t xml:space="preserve">produtividade e responsabilidade; </w:t>
      </w: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 xml:space="preserve">V - participação no Programa de Recepção de Docentes instituído pela IFE; e </w:t>
      </w: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 xml:space="preserve">VI - avaliação pelos discentes, conforme normatização própria da IFE. </w:t>
      </w: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 1</w:t>
      </w:r>
      <w:r>
        <w:rPr>
          <w:rFonts w:ascii="Century Gothic" w:hAnsi="Century Gothic" w:cs="Arial"/>
          <w:i/>
          <w:iCs/>
          <w:sz w:val="20"/>
          <w:szCs w:val="22"/>
        </w:rPr>
        <w:t xml:space="preserve">º </w:t>
      </w:r>
      <w:r w:rsidRPr="000F2CDC">
        <w:rPr>
          <w:rFonts w:ascii="Century Gothic" w:hAnsi="Century Gothic" w:cs="Arial"/>
          <w:i/>
          <w:iCs/>
          <w:sz w:val="20"/>
          <w:szCs w:val="22"/>
        </w:rPr>
        <w:t>As Avaliações Parciais serão feitas no 8</w:t>
      </w:r>
      <w:r>
        <w:rPr>
          <w:rFonts w:ascii="Century Gothic" w:hAnsi="Century Gothic" w:cs="Arial"/>
          <w:i/>
          <w:iCs/>
          <w:sz w:val="20"/>
          <w:szCs w:val="22"/>
        </w:rPr>
        <w:t>º</w:t>
      </w:r>
      <w:r w:rsidRPr="000F2CDC">
        <w:rPr>
          <w:rFonts w:ascii="Century Gothic" w:hAnsi="Century Gothic" w:cs="Arial"/>
          <w:i/>
          <w:iCs/>
          <w:sz w:val="20"/>
          <w:szCs w:val="22"/>
        </w:rPr>
        <w:t>, 16º e 24</w:t>
      </w:r>
      <w:r>
        <w:rPr>
          <w:rFonts w:ascii="Century Gothic" w:hAnsi="Century Gothic" w:cs="Arial"/>
          <w:i/>
          <w:iCs/>
          <w:sz w:val="20"/>
          <w:szCs w:val="22"/>
        </w:rPr>
        <w:t xml:space="preserve">º </w:t>
      </w:r>
      <w:r w:rsidRPr="000F2CDC">
        <w:rPr>
          <w:rFonts w:ascii="Century Gothic" w:hAnsi="Century Gothic" w:cs="Arial"/>
          <w:i/>
          <w:iCs/>
          <w:sz w:val="20"/>
          <w:szCs w:val="22"/>
        </w:rPr>
        <w:t>meses e serão consolidadas numa</w:t>
      </w:r>
      <w:r>
        <w:rPr>
          <w:rFonts w:ascii="Century Gothic" w:hAnsi="Century Gothic" w:cs="Arial"/>
          <w:i/>
          <w:iCs/>
          <w:sz w:val="20"/>
          <w:szCs w:val="22"/>
        </w:rPr>
        <w:t xml:space="preserve"> </w:t>
      </w:r>
      <w:r w:rsidRPr="000F2CDC">
        <w:rPr>
          <w:rFonts w:ascii="Century Gothic" w:hAnsi="Century Gothic" w:cs="Arial"/>
          <w:i/>
          <w:iCs/>
          <w:sz w:val="20"/>
          <w:szCs w:val="22"/>
        </w:rPr>
        <w:t>Avaliação Final a ser realizada no 32</w:t>
      </w:r>
      <w:r>
        <w:rPr>
          <w:rFonts w:ascii="Century Gothic" w:hAnsi="Century Gothic" w:cs="Arial"/>
          <w:i/>
          <w:iCs/>
          <w:sz w:val="20"/>
          <w:szCs w:val="22"/>
        </w:rPr>
        <w:t xml:space="preserve">º </w:t>
      </w:r>
      <w:r w:rsidRPr="000F2CDC">
        <w:rPr>
          <w:rFonts w:ascii="Century Gothic" w:hAnsi="Century Gothic" w:cs="Arial"/>
          <w:i/>
          <w:iCs/>
          <w:sz w:val="20"/>
          <w:szCs w:val="22"/>
        </w:rPr>
        <w:t>mês, sem prejuízo da continuidade, nos próximos 4 (quatro)</w:t>
      </w:r>
      <w:r>
        <w:rPr>
          <w:rFonts w:ascii="Century Gothic" w:hAnsi="Century Gothic" w:cs="Arial"/>
          <w:i/>
          <w:iCs/>
          <w:sz w:val="20"/>
          <w:szCs w:val="22"/>
        </w:rPr>
        <w:t xml:space="preserve"> </w:t>
      </w:r>
      <w:r w:rsidRPr="000F2CDC">
        <w:rPr>
          <w:rFonts w:ascii="Century Gothic" w:hAnsi="Century Gothic" w:cs="Arial"/>
          <w:i/>
          <w:iCs/>
          <w:sz w:val="20"/>
          <w:szCs w:val="22"/>
        </w:rPr>
        <w:t>meses, da apuração dos fatores referidos no caput.</w:t>
      </w: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 2</w:t>
      </w:r>
      <w:r>
        <w:rPr>
          <w:rFonts w:ascii="Century Gothic" w:hAnsi="Century Gothic" w:cs="Arial"/>
          <w:i/>
          <w:iCs/>
          <w:sz w:val="20"/>
          <w:szCs w:val="22"/>
        </w:rPr>
        <w:t xml:space="preserve">º </w:t>
      </w:r>
      <w:r w:rsidRPr="000F2CDC">
        <w:rPr>
          <w:rFonts w:ascii="Century Gothic" w:hAnsi="Century Gothic" w:cs="Arial"/>
          <w:i/>
          <w:iCs/>
          <w:sz w:val="20"/>
          <w:szCs w:val="22"/>
        </w:rPr>
        <w:t>Por ocasião das Avaliações Parciais e Final, o(s) Coordenador(es) de Curso(s) ou de</w:t>
      </w:r>
      <w:r>
        <w:rPr>
          <w:rFonts w:ascii="Century Gothic" w:hAnsi="Century Gothic" w:cs="Arial"/>
          <w:i/>
          <w:iCs/>
          <w:sz w:val="20"/>
          <w:szCs w:val="22"/>
        </w:rPr>
        <w:t xml:space="preserve"> </w:t>
      </w:r>
      <w:r w:rsidRPr="000F2CDC">
        <w:rPr>
          <w:rFonts w:ascii="Century Gothic" w:hAnsi="Century Gothic" w:cs="Arial"/>
          <w:i/>
          <w:iCs/>
          <w:sz w:val="20"/>
          <w:szCs w:val="22"/>
        </w:rPr>
        <w:t>Área(s) deverá(</w:t>
      </w:r>
      <w:proofErr w:type="spellStart"/>
      <w:r w:rsidRPr="000F2CDC">
        <w:rPr>
          <w:rFonts w:ascii="Century Gothic" w:hAnsi="Century Gothic" w:cs="Arial"/>
          <w:i/>
          <w:iCs/>
          <w:sz w:val="20"/>
          <w:szCs w:val="22"/>
        </w:rPr>
        <w:t>ão</w:t>
      </w:r>
      <w:proofErr w:type="spellEnd"/>
      <w:r w:rsidRPr="000F2CDC">
        <w:rPr>
          <w:rFonts w:ascii="Century Gothic" w:hAnsi="Century Gothic" w:cs="Arial"/>
          <w:i/>
          <w:iCs/>
          <w:sz w:val="20"/>
          <w:szCs w:val="22"/>
        </w:rPr>
        <w:t>) emitir à Comissão de Avaliação um Parecer que inclua o posicionamento dos</w:t>
      </w:r>
      <w:r>
        <w:rPr>
          <w:rFonts w:ascii="Century Gothic" w:hAnsi="Century Gothic" w:cs="Arial"/>
          <w:i/>
          <w:iCs/>
          <w:sz w:val="20"/>
          <w:szCs w:val="22"/>
        </w:rPr>
        <w:t xml:space="preserve"> </w:t>
      </w:r>
      <w:r w:rsidRPr="000F2CDC">
        <w:rPr>
          <w:rFonts w:ascii="Century Gothic" w:hAnsi="Century Gothic" w:cs="Arial"/>
          <w:i/>
          <w:iCs/>
          <w:sz w:val="20"/>
          <w:szCs w:val="22"/>
        </w:rPr>
        <w:t>discentes sobre a aptidão e o desempenho do Docente avaliado, devendo o referido posicionamento ser</w:t>
      </w:r>
      <w:r>
        <w:rPr>
          <w:rFonts w:ascii="Century Gothic" w:hAnsi="Century Gothic" w:cs="Arial"/>
          <w:i/>
          <w:iCs/>
          <w:sz w:val="20"/>
          <w:szCs w:val="22"/>
        </w:rPr>
        <w:t xml:space="preserve"> </w:t>
      </w:r>
      <w:r w:rsidRPr="000F2CDC">
        <w:rPr>
          <w:rFonts w:ascii="Century Gothic" w:hAnsi="Century Gothic" w:cs="Arial"/>
          <w:i/>
          <w:iCs/>
          <w:sz w:val="20"/>
          <w:szCs w:val="22"/>
        </w:rPr>
        <w:t>apresentado em forma de questionário, respondido por uma amostra aleatória e representativa de</w:t>
      </w:r>
      <w:r>
        <w:rPr>
          <w:rFonts w:ascii="Century Gothic" w:hAnsi="Century Gothic" w:cs="Arial"/>
          <w:i/>
          <w:iCs/>
          <w:sz w:val="20"/>
          <w:szCs w:val="22"/>
        </w:rPr>
        <w:t xml:space="preserve"> </w:t>
      </w:r>
      <w:r w:rsidRPr="000F2CDC">
        <w:rPr>
          <w:rFonts w:ascii="Century Gothic" w:hAnsi="Century Gothic" w:cs="Arial"/>
          <w:i/>
          <w:iCs/>
          <w:sz w:val="20"/>
          <w:szCs w:val="22"/>
        </w:rPr>
        <w:t>discentes, ou de relatório emitido pelo Centro/Diretório Acadêmico ou representante discente do</w:t>
      </w:r>
      <w:r>
        <w:rPr>
          <w:rFonts w:ascii="Century Gothic" w:hAnsi="Century Gothic" w:cs="Arial"/>
          <w:i/>
          <w:iCs/>
          <w:sz w:val="20"/>
          <w:szCs w:val="22"/>
        </w:rPr>
        <w:t xml:space="preserve"> </w:t>
      </w:r>
      <w:r w:rsidRPr="000F2CDC">
        <w:rPr>
          <w:rFonts w:ascii="Century Gothic" w:hAnsi="Century Gothic" w:cs="Arial"/>
          <w:i/>
          <w:iCs/>
          <w:sz w:val="20"/>
          <w:szCs w:val="22"/>
        </w:rPr>
        <w:t xml:space="preserve">Conselho Departamental/Congregação/Conselho de Unidade. </w:t>
      </w: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 3º No caso de docente de ensino fundamental da carreira do EBTT, a Declaração será</w:t>
      </w:r>
      <w:r>
        <w:rPr>
          <w:rFonts w:ascii="Century Gothic" w:hAnsi="Century Gothic" w:cs="Arial"/>
          <w:i/>
          <w:iCs/>
          <w:sz w:val="20"/>
          <w:szCs w:val="22"/>
        </w:rPr>
        <w:t xml:space="preserve"> </w:t>
      </w:r>
      <w:r w:rsidRPr="000F2CDC">
        <w:rPr>
          <w:rFonts w:ascii="Century Gothic" w:hAnsi="Century Gothic" w:cs="Arial"/>
          <w:i/>
          <w:iCs/>
          <w:sz w:val="20"/>
          <w:szCs w:val="22"/>
        </w:rPr>
        <w:t>emitida pelo (s) Coordenador (es) de Curso(s) ou de Área(s), ouvidos, quando for o caso, os pais dos</w:t>
      </w:r>
      <w:r>
        <w:rPr>
          <w:rFonts w:ascii="Century Gothic" w:hAnsi="Century Gothic" w:cs="Arial"/>
          <w:i/>
          <w:iCs/>
          <w:sz w:val="20"/>
          <w:szCs w:val="22"/>
        </w:rPr>
        <w:t xml:space="preserve"> alunos.</w:t>
      </w: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 4</w:t>
      </w:r>
      <w:r>
        <w:rPr>
          <w:rFonts w:ascii="Century Gothic" w:hAnsi="Century Gothic" w:cs="Arial"/>
          <w:i/>
          <w:iCs/>
          <w:sz w:val="20"/>
          <w:szCs w:val="22"/>
        </w:rPr>
        <w:t xml:space="preserve">º </w:t>
      </w:r>
      <w:r w:rsidRPr="000F2CDC">
        <w:rPr>
          <w:rFonts w:ascii="Century Gothic" w:hAnsi="Century Gothic" w:cs="Arial"/>
          <w:i/>
          <w:iCs/>
          <w:sz w:val="20"/>
          <w:szCs w:val="22"/>
        </w:rPr>
        <w:t>As Avaliações Parciais que integram o Processo de acompanhamento do estágio</w:t>
      </w:r>
      <w:r>
        <w:rPr>
          <w:rFonts w:ascii="Century Gothic" w:hAnsi="Century Gothic" w:cs="Arial"/>
          <w:i/>
          <w:iCs/>
          <w:sz w:val="20"/>
          <w:szCs w:val="22"/>
        </w:rPr>
        <w:t xml:space="preserve"> </w:t>
      </w:r>
      <w:r w:rsidRPr="000F2CDC">
        <w:rPr>
          <w:rFonts w:ascii="Century Gothic" w:hAnsi="Century Gothic" w:cs="Arial"/>
          <w:i/>
          <w:iCs/>
          <w:sz w:val="20"/>
          <w:szCs w:val="22"/>
        </w:rPr>
        <w:t>probatório serão encaminhadas à CAMP/PRORH (Coordenação de Avaliação e Movimentação de Pessoas</w:t>
      </w:r>
      <w:r>
        <w:rPr>
          <w:rFonts w:ascii="Century Gothic" w:hAnsi="Century Gothic" w:cs="Arial"/>
          <w:i/>
          <w:iCs/>
          <w:sz w:val="20"/>
          <w:szCs w:val="22"/>
        </w:rPr>
        <w:t xml:space="preserve"> </w:t>
      </w:r>
      <w:r w:rsidRPr="000F2CDC">
        <w:rPr>
          <w:rFonts w:ascii="Century Gothic" w:hAnsi="Century Gothic" w:cs="Arial"/>
          <w:i/>
          <w:iCs/>
          <w:sz w:val="20"/>
          <w:szCs w:val="22"/>
        </w:rPr>
        <w:t xml:space="preserve">da </w:t>
      </w:r>
      <w:proofErr w:type="spellStart"/>
      <w:r w:rsidRPr="000F2CDC">
        <w:rPr>
          <w:rFonts w:ascii="Century Gothic" w:hAnsi="Century Gothic" w:cs="Arial"/>
          <w:i/>
          <w:iCs/>
          <w:sz w:val="20"/>
          <w:szCs w:val="22"/>
        </w:rPr>
        <w:t>Pró-Reitoria</w:t>
      </w:r>
      <w:proofErr w:type="spellEnd"/>
      <w:r w:rsidRPr="000F2CDC">
        <w:rPr>
          <w:rFonts w:ascii="Century Gothic" w:hAnsi="Century Gothic" w:cs="Arial"/>
          <w:i/>
          <w:iCs/>
          <w:sz w:val="20"/>
          <w:szCs w:val="22"/>
        </w:rPr>
        <w:t xml:space="preserve"> de Recursos Humanos), nos termos do Cronograma de Avaliações constante do</w:t>
      </w:r>
      <w:r>
        <w:rPr>
          <w:rFonts w:ascii="Century Gothic" w:hAnsi="Century Gothic" w:cs="Arial"/>
          <w:i/>
          <w:iCs/>
          <w:sz w:val="20"/>
          <w:szCs w:val="22"/>
        </w:rPr>
        <w:t xml:space="preserve"> Processo.</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Art. 4</w:t>
      </w:r>
      <w:r>
        <w:rPr>
          <w:rFonts w:ascii="Century Gothic" w:hAnsi="Century Gothic" w:cs="Arial"/>
          <w:i/>
          <w:iCs/>
          <w:sz w:val="20"/>
          <w:szCs w:val="22"/>
        </w:rPr>
        <w:t xml:space="preserve">º </w:t>
      </w:r>
      <w:r w:rsidRPr="000F2CDC">
        <w:rPr>
          <w:rFonts w:ascii="Century Gothic" w:hAnsi="Century Gothic" w:cs="Arial"/>
          <w:i/>
          <w:iCs/>
          <w:sz w:val="20"/>
          <w:szCs w:val="22"/>
        </w:rPr>
        <w:t>A Avaliação Final (32</w:t>
      </w:r>
      <w:r>
        <w:rPr>
          <w:rFonts w:ascii="Century Gothic" w:hAnsi="Century Gothic" w:cs="Arial"/>
          <w:i/>
          <w:iCs/>
          <w:sz w:val="20"/>
          <w:szCs w:val="22"/>
        </w:rPr>
        <w:t>º</w:t>
      </w:r>
      <w:r w:rsidRPr="000F2CDC">
        <w:rPr>
          <w:rFonts w:ascii="Century Gothic" w:hAnsi="Century Gothic" w:cs="Arial"/>
          <w:i/>
          <w:iCs/>
          <w:sz w:val="20"/>
          <w:szCs w:val="22"/>
        </w:rPr>
        <w:t xml:space="preserve"> mês) do estágio probatório será expressa em Parecer da Comissão</w:t>
      </w:r>
      <w:r>
        <w:rPr>
          <w:rFonts w:ascii="Century Gothic" w:hAnsi="Century Gothic" w:cs="Arial"/>
          <w:i/>
          <w:iCs/>
          <w:sz w:val="20"/>
          <w:szCs w:val="22"/>
        </w:rPr>
        <w:t xml:space="preserve"> </w:t>
      </w:r>
      <w:r w:rsidRPr="000F2CDC">
        <w:rPr>
          <w:rFonts w:ascii="Century Gothic" w:hAnsi="Century Gothic" w:cs="Arial"/>
          <w:i/>
          <w:iCs/>
          <w:sz w:val="20"/>
          <w:szCs w:val="22"/>
        </w:rPr>
        <w:t>de Avaliação que indicará a aptidão ou inaptidão do Docente avaliado e será encaminhada à</w:t>
      </w:r>
      <w:r>
        <w:rPr>
          <w:rFonts w:ascii="Century Gothic" w:hAnsi="Century Gothic" w:cs="Arial"/>
          <w:i/>
          <w:iCs/>
          <w:sz w:val="20"/>
          <w:szCs w:val="22"/>
        </w:rPr>
        <w:t xml:space="preserve"> </w:t>
      </w:r>
      <w:r w:rsidRPr="000F2CDC">
        <w:rPr>
          <w:rFonts w:ascii="Century Gothic" w:hAnsi="Century Gothic" w:cs="Arial"/>
          <w:i/>
          <w:iCs/>
          <w:sz w:val="20"/>
          <w:szCs w:val="22"/>
        </w:rPr>
        <w:t xml:space="preserve">CAMP/PRORH (Coordenação de Avaliação e Movimentação de </w:t>
      </w:r>
      <w:r w:rsidRPr="000F2CDC">
        <w:rPr>
          <w:rFonts w:ascii="Century Gothic" w:hAnsi="Century Gothic" w:cs="Arial"/>
          <w:i/>
          <w:iCs/>
          <w:sz w:val="20"/>
          <w:szCs w:val="22"/>
        </w:rPr>
        <w:lastRenderedPageBreak/>
        <w:t xml:space="preserve">Pessoas da </w:t>
      </w:r>
      <w:proofErr w:type="spellStart"/>
      <w:r w:rsidRPr="000F2CDC">
        <w:rPr>
          <w:rFonts w:ascii="Century Gothic" w:hAnsi="Century Gothic" w:cs="Arial"/>
          <w:i/>
          <w:iCs/>
          <w:sz w:val="20"/>
          <w:szCs w:val="22"/>
        </w:rPr>
        <w:t>Pró-Reitoria</w:t>
      </w:r>
      <w:proofErr w:type="spellEnd"/>
      <w:r w:rsidRPr="000F2CDC">
        <w:rPr>
          <w:rFonts w:ascii="Century Gothic" w:hAnsi="Century Gothic" w:cs="Arial"/>
          <w:i/>
          <w:iCs/>
          <w:sz w:val="20"/>
          <w:szCs w:val="22"/>
        </w:rPr>
        <w:t xml:space="preserve"> de Recursos</w:t>
      </w:r>
      <w:r>
        <w:rPr>
          <w:rFonts w:ascii="Century Gothic" w:hAnsi="Century Gothic" w:cs="Arial"/>
          <w:i/>
          <w:iCs/>
          <w:sz w:val="20"/>
          <w:szCs w:val="22"/>
        </w:rPr>
        <w:t xml:space="preserve"> </w:t>
      </w:r>
      <w:r w:rsidRPr="000F2CDC">
        <w:rPr>
          <w:rFonts w:ascii="Century Gothic" w:hAnsi="Century Gothic" w:cs="Arial"/>
          <w:i/>
          <w:iCs/>
          <w:sz w:val="20"/>
          <w:szCs w:val="22"/>
        </w:rPr>
        <w:t>Humanos), nos termos do Cronograma de Avaliações constante do Processo.</w:t>
      </w:r>
    </w:p>
    <w:p w:rsidR="00511F8F"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Parágrafo Único. Caberá à CAMP/PRORH proceder à instrução final dos processos e, após o</w:t>
      </w:r>
      <w:r>
        <w:rPr>
          <w:rFonts w:ascii="Century Gothic" w:hAnsi="Century Gothic" w:cs="Arial"/>
          <w:i/>
          <w:iCs/>
          <w:sz w:val="20"/>
          <w:szCs w:val="22"/>
        </w:rPr>
        <w:t xml:space="preserve"> </w:t>
      </w:r>
      <w:r w:rsidRPr="000F2CDC">
        <w:rPr>
          <w:rFonts w:ascii="Century Gothic" w:hAnsi="Century Gothic" w:cs="Arial"/>
          <w:i/>
          <w:iCs/>
          <w:sz w:val="20"/>
          <w:szCs w:val="22"/>
        </w:rPr>
        <w:t>32º mês, encaminhá-los à PRORH para decisão.</w:t>
      </w: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p>
    <w:p w:rsidR="00511F8F" w:rsidRPr="000F2C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0F2CDC">
        <w:rPr>
          <w:rFonts w:ascii="Century Gothic" w:hAnsi="Century Gothic" w:cs="Arial"/>
          <w:i/>
          <w:iCs/>
          <w:sz w:val="20"/>
          <w:szCs w:val="22"/>
        </w:rPr>
        <w:t>Art. 5º O docente que se encontra em estágio probatório deverá participar anualmente de ações</w:t>
      </w:r>
      <w:r>
        <w:rPr>
          <w:rFonts w:ascii="Century Gothic" w:hAnsi="Century Gothic" w:cs="Arial"/>
          <w:i/>
          <w:iCs/>
          <w:sz w:val="20"/>
          <w:szCs w:val="22"/>
        </w:rPr>
        <w:t xml:space="preserve"> </w:t>
      </w:r>
      <w:r w:rsidRPr="000F2CDC">
        <w:rPr>
          <w:rFonts w:ascii="Century Gothic" w:hAnsi="Century Gothic" w:cs="Arial"/>
          <w:i/>
          <w:iCs/>
          <w:sz w:val="20"/>
          <w:szCs w:val="22"/>
        </w:rPr>
        <w:t>de formação docente, a serem definidas e divulgadas pela Coordenação de Inovação Pedagógica da</w:t>
      </w:r>
      <w:r>
        <w:rPr>
          <w:rFonts w:ascii="Century Gothic" w:hAnsi="Century Gothic" w:cs="Arial"/>
          <w:i/>
          <w:iCs/>
          <w:sz w:val="20"/>
          <w:szCs w:val="22"/>
        </w:rPr>
        <w:t xml:space="preserve"> </w:t>
      </w:r>
      <w:proofErr w:type="spellStart"/>
      <w:r w:rsidRPr="000F2CDC">
        <w:rPr>
          <w:rFonts w:ascii="Century Gothic" w:hAnsi="Century Gothic" w:cs="Arial"/>
          <w:i/>
          <w:iCs/>
          <w:sz w:val="20"/>
          <w:szCs w:val="22"/>
        </w:rPr>
        <w:t>Pró-Reitoria</w:t>
      </w:r>
      <w:proofErr w:type="spellEnd"/>
      <w:r w:rsidRPr="000F2CDC">
        <w:rPr>
          <w:rFonts w:ascii="Century Gothic" w:hAnsi="Century Gothic" w:cs="Arial"/>
          <w:i/>
          <w:iCs/>
          <w:sz w:val="20"/>
          <w:szCs w:val="22"/>
        </w:rPr>
        <w:t xml:space="preserve"> de Graduação da UFJF.</w:t>
      </w:r>
    </w:p>
    <w:p w:rsidR="00511F8F" w:rsidRPr="007554DC" w:rsidRDefault="00511F8F"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34"/>
        <w:jc w:val="both"/>
        <w:rPr>
          <w:rFonts w:ascii="Century Gothic" w:hAnsi="Century Gothic" w:cs="Arial"/>
          <w:iCs/>
          <w:szCs w:val="22"/>
        </w:rPr>
      </w:pPr>
    </w:p>
    <w:p w:rsidR="00877181" w:rsidRDefault="0058670D" w:rsidP="004C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r>
        <w:rPr>
          <w:rFonts w:ascii="Century Gothic" w:hAnsi="Century Gothic" w:cs="Arial"/>
          <w:iCs/>
          <w:szCs w:val="22"/>
        </w:rPr>
        <w:t xml:space="preserve">Não é preciso um grande esforço de raciocínio para se verificar que </w:t>
      </w:r>
      <w:r w:rsidR="00632F0B">
        <w:rPr>
          <w:rFonts w:ascii="Century Gothic" w:hAnsi="Century Gothic" w:cs="Arial"/>
          <w:iCs/>
          <w:szCs w:val="22"/>
        </w:rPr>
        <w:t>nenhum dos fatores arrolados pelo artigo 3º foi colocado em posição de prevalência sobre os demais. Até por respeito ao princípio da legalidade, a UFJF simplesmente reproduziu a norma contida no artigo 24 da Lei 12.772/2012, sem promover qualquer valoração dos critérios que deverão ser apreciados na avaliação de desempenho.</w:t>
      </w:r>
    </w:p>
    <w:p w:rsidR="00877181" w:rsidRDefault="00877181" w:rsidP="004C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p>
    <w:p w:rsidR="00511F8F" w:rsidRDefault="00877181" w:rsidP="004C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r>
        <w:rPr>
          <w:rFonts w:ascii="Century Gothic" w:hAnsi="Century Gothic" w:cs="Arial"/>
          <w:iCs/>
          <w:szCs w:val="22"/>
        </w:rPr>
        <w:t xml:space="preserve">Portanto, para uma perfeita compreensão da capacidade funcional do servidor em estágio probatório, todos os itens trazidos pela legislação deverão ser </w:t>
      </w:r>
      <w:r w:rsidR="0058670D">
        <w:rPr>
          <w:rFonts w:ascii="Century Gothic" w:hAnsi="Century Gothic" w:cs="Arial"/>
          <w:iCs/>
          <w:szCs w:val="22"/>
        </w:rPr>
        <w:t>pontualmente</w:t>
      </w:r>
      <w:r>
        <w:rPr>
          <w:rFonts w:ascii="Century Gothic" w:hAnsi="Century Gothic" w:cs="Arial"/>
          <w:iCs/>
          <w:szCs w:val="22"/>
        </w:rPr>
        <w:t xml:space="preserve"> considerados. A análise de um único fator é</w:t>
      </w:r>
      <w:r w:rsidR="007F57DD">
        <w:rPr>
          <w:rFonts w:ascii="Century Gothic" w:hAnsi="Century Gothic" w:cs="Arial"/>
          <w:iCs/>
          <w:szCs w:val="22"/>
        </w:rPr>
        <w:t>, repita-se,</w:t>
      </w:r>
      <w:r>
        <w:rPr>
          <w:rFonts w:ascii="Century Gothic" w:hAnsi="Century Gothic" w:cs="Arial"/>
          <w:iCs/>
          <w:szCs w:val="22"/>
        </w:rPr>
        <w:t xml:space="preserve"> inapta a ensejar um parecer favorável ou desfavorável ao servidor</w:t>
      </w:r>
      <w:r w:rsidR="007F57DD">
        <w:rPr>
          <w:rFonts w:ascii="Century Gothic" w:hAnsi="Century Gothic" w:cs="Arial"/>
          <w:iCs/>
          <w:szCs w:val="22"/>
        </w:rPr>
        <w:t>.</w:t>
      </w:r>
    </w:p>
    <w:p w:rsidR="004C7124" w:rsidRDefault="004C7124" w:rsidP="004C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p>
    <w:p w:rsidR="007F57DD" w:rsidRDefault="007F57DD" w:rsidP="004C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r>
        <w:rPr>
          <w:rFonts w:ascii="Century Gothic" w:hAnsi="Century Gothic" w:cs="Arial"/>
          <w:iCs/>
          <w:szCs w:val="22"/>
        </w:rPr>
        <w:t>Por outro lado</w:t>
      </w:r>
      <w:r w:rsidR="004C7124">
        <w:rPr>
          <w:rFonts w:ascii="Century Gothic" w:hAnsi="Century Gothic" w:cs="Arial"/>
          <w:iCs/>
          <w:szCs w:val="22"/>
        </w:rPr>
        <w:t xml:space="preserve">, conquanto o artigo 5º acima transcrito tenha </w:t>
      </w:r>
      <w:r w:rsidR="00877181">
        <w:rPr>
          <w:rFonts w:ascii="Century Gothic" w:hAnsi="Century Gothic" w:cs="Arial"/>
          <w:iCs/>
          <w:szCs w:val="22"/>
        </w:rPr>
        <w:t>prescrito</w:t>
      </w:r>
      <w:r w:rsidR="004C7124">
        <w:rPr>
          <w:rFonts w:ascii="Century Gothic" w:hAnsi="Century Gothic" w:cs="Arial"/>
          <w:iCs/>
          <w:szCs w:val="22"/>
        </w:rPr>
        <w:t xml:space="preserve"> a necessidade de participação do servidor em estágio probatório nas ações de formação docente, não </w:t>
      </w:r>
      <w:r w:rsidR="00632F0B">
        <w:rPr>
          <w:rFonts w:ascii="Century Gothic" w:hAnsi="Century Gothic" w:cs="Arial"/>
          <w:iCs/>
          <w:szCs w:val="22"/>
        </w:rPr>
        <w:t>estabeleceu</w:t>
      </w:r>
      <w:r w:rsidR="00877181">
        <w:rPr>
          <w:rFonts w:ascii="Century Gothic" w:hAnsi="Century Gothic" w:cs="Arial"/>
          <w:iCs/>
          <w:szCs w:val="22"/>
        </w:rPr>
        <w:t xml:space="preserve"> </w:t>
      </w:r>
      <w:r>
        <w:rPr>
          <w:rFonts w:ascii="Century Gothic" w:hAnsi="Century Gothic" w:cs="Arial"/>
          <w:iCs/>
          <w:szCs w:val="22"/>
        </w:rPr>
        <w:t xml:space="preserve">que </w:t>
      </w:r>
      <w:r w:rsidR="00CE02AA">
        <w:rPr>
          <w:rFonts w:ascii="Century Gothic" w:hAnsi="Century Gothic" w:cs="Arial"/>
          <w:iCs/>
          <w:szCs w:val="22"/>
        </w:rPr>
        <w:t>possível</w:t>
      </w:r>
      <w:r>
        <w:rPr>
          <w:rFonts w:ascii="Century Gothic" w:hAnsi="Century Gothic" w:cs="Arial"/>
          <w:iCs/>
          <w:szCs w:val="22"/>
        </w:rPr>
        <w:t xml:space="preserve"> falta </w:t>
      </w:r>
      <w:r w:rsidR="0058670D">
        <w:rPr>
          <w:rFonts w:ascii="Century Gothic" w:hAnsi="Century Gothic" w:cs="Arial"/>
          <w:iCs/>
          <w:szCs w:val="22"/>
        </w:rPr>
        <w:t xml:space="preserve">nesse quesito </w:t>
      </w:r>
      <w:r>
        <w:rPr>
          <w:rFonts w:ascii="Century Gothic" w:hAnsi="Century Gothic" w:cs="Arial"/>
          <w:iCs/>
          <w:szCs w:val="22"/>
        </w:rPr>
        <w:t>terá significativa implicação na sua avaliação de desempenho</w:t>
      </w:r>
      <w:r w:rsidR="00632F0B">
        <w:rPr>
          <w:rFonts w:ascii="Century Gothic" w:hAnsi="Century Gothic" w:cs="Arial"/>
          <w:iCs/>
          <w:szCs w:val="22"/>
        </w:rPr>
        <w:t xml:space="preserve">. </w:t>
      </w:r>
    </w:p>
    <w:p w:rsidR="007F57DD" w:rsidRDefault="007F57DD" w:rsidP="004C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p>
    <w:p w:rsidR="004C7124" w:rsidRDefault="00632F0B" w:rsidP="004C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r>
        <w:rPr>
          <w:rFonts w:ascii="Century Gothic" w:hAnsi="Century Gothic" w:cs="Arial"/>
          <w:iCs/>
          <w:szCs w:val="22"/>
        </w:rPr>
        <w:t>A</w:t>
      </w:r>
      <w:r w:rsidR="004C7124">
        <w:rPr>
          <w:rFonts w:ascii="Century Gothic" w:hAnsi="Century Gothic" w:cs="Arial"/>
          <w:iCs/>
          <w:szCs w:val="22"/>
        </w:rPr>
        <w:t xml:space="preserve"> aprovação ou reprovação </w:t>
      </w:r>
      <w:r>
        <w:rPr>
          <w:rFonts w:ascii="Century Gothic" w:hAnsi="Century Gothic" w:cs="Arial"/>
          <w:iCs/>
          <w:szCs w:val="22"/>
        </w:rPr>
        <w:t xml:space="preserve">do docente, portanto, não está diretamente vinculada à efetiva realização de tais cursos. Como pisado e repisado anteriormente, todos os fatores apresentados pela legislação de regência deverão ser apreciados durante a avaliação de desempenho do profissional, não podendo somente um destes elementos </w:t>
      </w:r>
      <w:r w:rsidR="007F57DD">
        <w:rPr>
          <w:rFonts w:ascii="Century Gothic" w:hAnsi="Century Gothic" w:cs="Arial"/>
          <w:iCs/>
          <w:szCs w:val="22"/>
        </w:rPr>
        <w:t>justificar</w:t>
      </w:r>
      <w:r>
        <w:rPr>
          <w:rFonts w:ascii="Century Gothic" w:hAnsi="Century Gothic" w:cs="Arial"/>
          <w:iCs/>
          <w:szCs w:val="22"/>
        </w:rPr>
        <w:t xml:space="preserve"> eventual falha no período de prova. </w:t>
      </w:r>
    </w:p>
    <w:p w:rsidR="00632F0B" w:rsidRDefault="00632F0B" w:rsidP="004C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p>
    <w:p w:rsidR="00632F0B" w:rsidRDefault="00632F0B" w:rsidP="004C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r>
        <w:rPr>
          <w:rFonts w:ascii="Century Gothic" w:hAnsi="Century Gothic" w:cs="Arial"/>
          <w:iCs/>
          <w:szCs w:val="22"/>
        </w:rPr>
        <w:t xml:space="preserve">Logicamente, a falha em qualquer dos elementos arrolados pelo artigo </w:t>
      </w:r>
      <w:r w:rsidR="007F57DD">
        <w:rPr>
          <w:rFonts w:ascii="Century Gothic" w:hAnsi="Century Gothic" w:cs="Arial"/>
          <w:iCs/>
          <w:szCs w:val="22"/>
        </w:rPr>
        <w:t xml:space="preserve">24 da Lei 12.772/2012, reproduzidos no artigo 3º da Portaria nº 547/2012, irá refletir no resultado da avaliação do servidor. E é exatamente em virtude dessa possibilidade que a participação do docente no Programa de </w:t>
      </w:r>
      <w:r w:rsidR="00CE02AA">
        <w:rPr>
          <w:rFonts w:ascii="Century Gothic" w:hAnsi="Century Gothic" w:cs="Arial"/>
          <w:iCs/>
          <w:szCs w:val="22"/>
        </w:rPr>
        <w:t>Recepção de Docentes se revela aconselhada.</w:t>
      </w:r>
    </w:p>
    <w:p w:rsidR="00CE02AA" w:rsidRDefault="00CE02AA" w:rsidP="004C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p>
    <w:p w:rsidR="00CE02AA" w:rsidRDefault="00CE02AA" w:rsidP="004C7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r>
        <w:rPr>
          <w:rFonts w:ascii="Century Gothic" w:hAnsi="Century Gothic" w:cs="Arial"/>
          <w:iCs/>
          <w:szCs w:val="22"/>
        </w:rPr>
        <w:t xml:space="preserve">Contudo, a </w:t>
      </w:r>
      <w:r w:rsidR="00467E0B">
        <w:rPr>
          <w:rFonts w:ascii="Century Gothic" w:hAnsi="Century Gothic" w:cs="Arial"/>
          <w:iCs/>
          <w:szCs w:val="22"/>
        </w:rPr>
        <w:t xml:space="preserve">plena </w:t>
      </w:r>
      <w:r>
        <w:rPr>
          <w:rFonts w:ascii="Century Gothic" w:hAnsi="Century Gothic" w:cs="Arial"/>
          <w:iCs/>
          <w:szCs w:val="22"/>
        </w:rPr>
        <w:t>satisfação desse único elemento não será decisiv</w:t>
      </w:r>
      <w:r w:rsidR="00467E0B">
        <w:rPr>
          <w:rFonts w:ascii="Century Gothic" w:hAnsi="Century Gothic" w:cs="Arial"/>
          <w:iCs/>
          <w:szCs w:val="22"/>
        </w:rPr>
        <w:t>a</w:t>
      </w:r>
      <w:r>
        <w:rPr>
          <w:rFonts w:ascii="Century Gothic" w:hAnsi="Century Gothic" w:cs="Arial"/>
          <w:iCs/>
          <w:szCs w:val="22"/>
        </w:rPr>
        <w:t xml:space="preserve"> para aprovação do docente no estágio probatório, assim como, o seu não implemento adequado jamais poderá ser razão suficiente para </w:t>
      </w:r>
      <w:r w:rsidR="00467E0B">
        <w:rPr>
          <w:rFonts w:ascii="Century Gothic" w:hAnsi="Century Gothic" w:cs="Arial"/>
          <w:iCs/>
          <w:szCs w:val="22"/>
        </w:rPr>
        <w:t xml:space="preserve">motivar </w:t>
      </w:r>
      <w:r>
        <w:rPr>
          <w:rFonts w:ascii="Century Gothic" w:hAnsi="Century Gothic" w:cs="Arial"/>
          <w:iCs/>
          <w:szCs w:val="22"/>
        </w:rPr>
        <w:t>um parecer negativo quanto sua capacidade e aptidão para o desempenho das atividades relacionadas ao cargo.</w:t>
      </w:r>
    </w:p>
    <w:p w:rsidR="00290909" w:rsidRDefault="00290909" w:rsidP="00511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134"/>
        <w:jc w:val="both"/>
        <w:rPr>
          <w:rFonts w:ascii="Century Gothic" w:hAnsi="Century Gothic" w:cs="Arial"/>
          <w:iCs/>
          <w:szCs w:val="22"/>
        </w:rPr>
      </w:pPr>
    </w:p>
    <w:p w:rsidR="00290909" w:rsidRDefault="00CE02AA" w:rsidP="0029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r>
        <w:rPr>
          <w:rFonts w:ascii="Century Gothic" w:hAnsi="Century Gothic" w:cs="Arial"/>
          <w:iCs/>
          <w:szCs w:val="22"/>
        </w:rPr>
        <w:t>De toda sorte, i</w:t>
      </w:r>
      <w:r w:rsidR="00290909">
        <w:rPr>
          <w:rFonts w:ascii="Century Gothic" w:hAnsi="Century Gothic" w:cs="Arial"/>
          <w:iCs/>
          <w:szCs w:val="22"/>
        </w:rPr>
        <w:t xml:space="preserve">mportante registrar que o servidor que receber uma baixa </w:t>
      </w:r>
      <w:r w:rsidR="00467E0B">
        <w:rPr>
          <w:rFonts w:ascii="Century Gothic" w:hAnsi="Century Gothic" w:cs="Arial"/>
          <w:iCs/>
          <w:szCs w:val="22"/>
        </w:rPr>
        <w:t>pontuação</w:t>
      </w:r>
      <w:r w:rsidR="00290909">
        <w:rPr>
          <w:rFonts w:ascii="Century Gothic" w:hAnsi="Century Gothic" w:cs="Arial"/>
          <w:iCs/>
          <w:szCs w:val="22"/>
        </w:rPr>
        <w:t xml:space="preserve"> durante seu estágio probatório, em qualquer dos fatores elencados pela legislação, </w:t>
      </w:r>
      <w:r w:rsidR="00290909" w:rsidRPr="00F70647">
        <w:rPr>
          <w:rFonts w:ascii="Century Gothic" w:hAnsi="Century Gothic" w:cs="Arial"/>
          <w:iCs/>
          <w:szCs w:val="22"/>
        </w:rPr>
        <w:t>poderá</w:t>
      </w:r>
      <w:r w:rsidR="00290909">
        <w:rPr>
          <w:rFonts w:ascii="Century Gothic" w:hAnsi="Century Gothic" w:cs="Arial"/>
          <w:iCs/>
          <w:szCs w:val="22"/>
        </w:rPr>
        <w:t xml:space="preserve"> exercitar seu direito de defesa, bem como de contraditar a </w:t>
      </w:r>
      <w:r w:rsidR="00467E0B">
        <w:rPr>
          <w:rFonts w:ascii="Century Gothic" w:hAnsi="Century Gothic" w:cs="Arial"/>
          <w:iCs/>
          <w:szCs w:val="22"/>
        </w:rPr>
        <w:t>avaliação</w:t>
      </w:r>
      <w:r w:rsidR="00290909">
        <w:rPr>
          <w:rFonts w:ascii="Century Gothic" w:hAnsi="Century Gothic" w:cs="Arial"/>
          <w:iCs/>
          <w:szCs w:val="22"/>
        </w:rPr>
        <w:t xml:space="preserve">. Sem </w:t>
      </w:r>
      <w:r w:rsidR="00432926">
        <w:rPr>
          <w:rFonts w:ascii="Century Gothic" w:hAnsi="Century Gothic" w:cs="Arial"/>
          <w:iCs/>
          <w:szCs w:val="22"/>
        </w:rPr>
        <w:t>observância d</w:t>
      </w:r>
      <w:r w:rsidR="00290909">
        <w:rPr>
          <w:rFonts w:ascii="Century Gothic" w:hAnsi="Century Gothic" w:cs="Arial"/>
          <w:iCs/>
          <w:szCs w:val="22"/>
        </w:rPr>
        <w:t xml:space="preserve">o contraditório e </w:t>
      </w:r>
      <w:r w:rsidR="00432926">
        <w:rPr>
          <w:rFonts w:ascii="Century Gothic" w:hAnsi="Century Gothic" w:cs="Arial"/>
          <w:iCs/>
          <w:szCs w:val="22"/>
        </w:rPr>
        <w:t>d</w:t>
      </w:r>
      <w:r w:rsidR="00290909">
        <w:rPr>
          <w:rFonts w:ascii="Century Gothic" w:hAnsi="Century Gothic" w:cs="Arial"/>
          <w:iCs/>
          <w:szCs w:val="22"/>
        </w:rPr>
        <w:t>o devido processo legal</w:t>
      </w:r>
      <w:r w:rsidR="009E2B34">
        <w:rPr>
          <w:rFonts w:ascii="Century Gothic" w:hAnsi="Century Gothic" w:cs="Arial"/>
          <w:iCs/>
          <w:szCs w:val="22"/>
        </w:rPr>
        <w:t xml:space="preserve">, o </w:t>
      </w:r>
      <w:r w:rsidR="00467E0B">
        <w:rPr>
          <w:rFonts w:ascii="Century Gothic" w:hAnsi="Century Gothic" w:cs="Arial"/>
          <w:iCs/>
          <w:szCs w:val="22"/>
        </w:rPr>
        <w:t>procedimento avaliativo</w:t>
      </w:r>
      <w:r w:rsidR="009E2B34">
        <w:rPr>
          <w:rFonts w:ascii="Century Gothic" w:hAnsi="Century Gothic" w:cs="Arial"/>
          <w:iCs/>
          <w:szCs w:val="22"/>
        </w:rPr>
        <w:t xml:space="preserve"> é natimorto, por grave ofensa ao artigo 5º, </w:t>
      </w:r>
      <w:r w:rsidR="0060206B">
        <w:rPr>
          <w:rFonts w:ascii="Century Gothic" w:hAnsi="Century Gothic" w:cs="Arial"/>
          <w:iCs/>
          <w:szCs w:val="22"/>
        </w:rPr>
        <w:t xml:space="preserve">inciso </w:t>
      </w:r>
      <w:r w:rsidR="009E2B34">
        <w:rPr>
          <w:rFonts w:ascii="Century Gothic" w:hAnsi="Century Gothic" w:cs="Arial"/>
          <w:iCs/>
          <w:szCs w:val="22"/>
        </w:rPr>
        <w:t>LV, da Constituição Federal.</w:t>
      </w:r>
    </w:p>
    <w:p w:rsidR="009E2B34" w:rsidRDefault="009E2B34" w:rsidP="0029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p>
    <w:p w:rsidR="009E2B34" w:rsidRDefault="009E2B34" w:rsidP="0029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r>
        <w:rPr>
          <w:rFonts w:ascii="Century Gothic" w:hAnsi="Century Gothic" w:cs="Arial"/>
          <w:iCs/>
          <w:szCs w:val="22"/>
        </w:rPr>
        <w:t>Na lição de Mauro Roberto Gomes de Mattos</w:t>
      </w:r>
      <w:r>
        <w:rPr>
          <w:rFonts w:ascii="Century Gothic" w:hAnsi="Century Gothic" w:cs="Arial"/>
          <w:i/>
          <w:iCs/>
          <w:szCs w:val="22"/>
        </w:rPr>
        <w:t>, “para que ocorra a exoneração do servidor em processo de avaliação, via estágio probatório, mister se faz que lhe seja assegurado o direito de conhecer as razões e motivos que levaram a Administração Pública a negar-lhe o direito de permanência no âmbito do serviço público. Através de sindicância, ou até mesmo do inquérito administrativo, o servidor tem a chance de esfacelar qualquer tipo de avaliação funcional movida pela chaga da perseguição ou do ódio”</w:t>
      </w:r>
      <w:r>
        <w:rPr>
          <w:rFonts w:ascii="Century Gothic" w:hAnsi="Century Gothic" w:cs="Arial"/>
          <w:iCs/>
          <w:szCs w:val="22"/>
        </w:rPr>
        <w:t>(</w:t>
      </w:r>
      <w:r w:rsidR="00483457" w:rsidRPr="00483457">
        <w:rPr>
          <w:rFonts w:ascii="Century Gothic" w:hAnsi="Century Gothic" w:cs="Arial"/>
          <w:i/>
          <w:iCs/>
          <w:szCs w:val="22"/>
        </w:rPr>
        <w:t>In</w:t>
      </w:r>
      <w:r>
        <w:rPr>
          <w:rFonts w:ascii="Century Gothic" w:hAnsi="Century Gothic" w:cs="Arial"/>
          <w:i/>
          <w:iCs/>
          <w:szCs w:val="22"/>
        </w:rPr>
        <w:t xml:space="preserve"> </w:t>
      </w:r>
      <w:r w:rsidR="00483457">
        <w:rPr>
          <w:rFonts w:ascii="Century Gothic" w:hAnsi="Century Gothic" w:cs="Arial"/>
          <w:iCs/>
          <w:szCs w:val="22"/>
        </w:rPr>
        <w:t xml:space="preserve">Coletânea Doutrinária. </w:t>
      </w:r>
      <w:r>
        <w:rPr>
          <w:rFonts w:ascii="Century Gothic" w:hAnsi="Century Gothic" w:cs="Arial"/>
          <w:iCs/>
          <w:szCs w:val="22"/>
        </w:rPr>
        <w:t>A administração pública não possui poder discricionário de exonerar servidor em estágio probatório sem direito de defesa</w:t>
      </w:r>
      <w:r w:rsidR="00483457">
        <w:rPr>
          <w:rFonts w:ascii="Century Gothic" w:hAnsi="Century Gothic" w:cs="Arial"/>
          <w:iCs/>
          <w:szCs w:val="22"/>
        </w:rPr>
        <w:t xml:space="preserve">. Curitiba, Ed. </w:t>
      </w:r>
      <w:proofErr w:type="spellStart"/>
      <w:r w:rsidR="00483457">
        <w:rPr>
          <w:rFonts w:ascii="Century Gothic" w:hAnsi="Century Gothic" w:cs="Arial"/>
          <w:iCs/>
          <w:szCs w:val="22"/>
        </w:rPr>
        <w:t>Plenum</w:t>
      </w:r>
      <w:proofErr w:type="spellEnd"/>
      <w:r w:rsidR="00483457">
        <w:rPr>
          <w:rFonts w:ascii="Century Gothic" w:hAnsi="Century Gothic" w:cs="Arial"/>
          <w:iCs/>
          <w:szCs w:val="22"/>
        </w:rPr>
        <w:t>, p. 35, dezembro de 1999)</w:t>
      </w:r>
      <w:r>
        <w:rPr>
          <w:rFonts w:ascii="Century Gothic" w:hAnsi="Century Gothic" w:cs="Arial"/>
          <w:i/>
          <w:iCs/>
          <w:szCs w:val="22"/>
        </w:rPr>
        <w:t>.</w:t>
      </w:r>
    </w:p>
    <w:p w:rsidR="00432926" w:rsidRDefault="00432926" w:rsidP="0029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p>
    <w:p w:rsidR="00432926" w:rsidRDefault="00432926" w:rsidP="0029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r>
        <w:rPr>
          <w:rFonts w:ascii="Century Gothic" w:hAnsi="Century Gothic" w:cs="Arial"/>
          <w:iCs/>
          <w:szCs w:val="22"/>
        </w:rPr>
        <w:t>A jurisprudência do Tribunal Regional Federal da 1ª Região não destoa dessa orientação:</w:t>
      </w:r>
    </w:p>
    <w:p w:rsidR="00432926" w:rsidRDefault="00432926" w:rsidP="00290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1418"/>
        <w:jc w:val="both"/>
        <w:rPr>
          <w:rFonts w:ascii="Century Gothic" w:hAnsi="Century Gothic" w:cs="Arial"/>
          <w:iCs/>
          <w:szCs w:val="22"/>
        </w:rPr>
      </w:pPr>
    </w:p>
    <w:p w:rsidR="00432926" w:rsidRDefault="00432926" w:rsidP="0043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432926">
        <w:rPr>
          <w:rFonts w:ascii="Century Gothic" w:hAnsi="Century Gothic" w:cs="Arial"/>
          <w:i/>
          <w:iCs/>
          <w:sz w:val="20"/>
          <w:szCs w:val="22"/>
        </w:rPr>
        <w:t>CONSTITUCIONAL E ADMINISTRATIVO. SERVIDOR PÚBLICO. AGRAVO RETIDO. INDEFERIMENTO DE PROVA TESTEMUNHAL. NÃO CONFIGURAÇÃO DE CERCEAMENTO DE </w:t>
      </w:r>
      <w:r w:rsidRPr="00432926">
        <w:rPr>
          <w:rFonts w:ascii="Century Gothic" w:hAnsi="Century Gothic" w:cs="Arial"/>
          <w:bCs/>
          <w:i/>
          <w:iCs/>
          <w:sz w:val="20"/>
          <w:szCs w:val="22"/>
        </w:rPr>
        <w:t>DEFESA.</w:t>
      </w:r>
      <w:r w:rsidRPr="00432926">
        <w:rPr>
          <w:rFonts w:ascii="Century Gothic" w:hAnsi="Century Gothic" w:cs="Arial"/>
          <w:i/>
          <w:iCs/>
          <w:sz w:val="20"/>
          <w:szCs w:val="22"/>
        </w:rPr>
        <w:t> REINTEGRAÇÃO DE SERVIDOR PÚBLICO. EXONERAÇÃO SEM O DEVIDO PROCESSO LEGAL. EFEITOS. 1. Alegando o servidor ausência do devido processo legal e do </w:t>
      </w:r>
      <w:r w:rsidRPr="00432926">
        <w:rPr>
          <w:rFonts w:ascii="Century Gothic" w:hAnsi="Century Gothic" w:cs="Arial"/>
          <w:bCs/>
          <w:i/>
          <w:iCs/>
          <w:sz w:val="20"/>
          <w:szCs w:val="22"/>
        </w:rPr>
        <w:t>contraditório</w:t>
      </w:r>
      <w:r w:rsidRPr="00432926">
        <w:rPr>
          <w:rFonts w:ascii="Century Gothic" w:hAnsi="Century Gothic" w:cs="Arial"/>
          <w:i/>
          <w:iCs/>
          <w:sz w:val="20"/>
          <w:szCs w:val="22"/>
        </w:rPr>
        <w:t> no processo administrativo, os fatos, na ação de conhecimento, são provados através de documentos, não configurando cerceamento de </w:t>
      </w:r>
      <w:r w:rsidRPr="00432926">
        <w:rPr>
          <w:rFonts w:ascii="Century Gothic" w:hAnsi="Century Gothic" w:cs="Arial"/>
          <w:bCs/>
          <w:i/>
          <w:iCs/>
          <w:sz w:val="20"/>
          <w:szCs w:val="22"/>
        </w:rPr>
        <w:t>defesa</w:t>
      </w:r>
      <w:r w:rsidRPr="00432926">
        <w:rPr>
          <w:rFonts w:ascii="Century Gothic" w:hAnsi="Century Gothic" w:cs="Arial"/>
          <w:i/>
          <w:iCs/>
          <w:sz w:val="20"/>
          <w:szCs w:val="22"/>
        </w:rPr>
        <w:t xml:space="preserve"> da UFMG o indeferimento da oitiva de testemunhas desnecessárias ao desate da lide. 2. </w:t>
      </w:r>
      <w:r w:rsidRPr="00432926">
        <w:rPr>
          <w:rFonts w:ascii="Century Gothic" w:hAnsi="Century Gothic" w:cs="Arial"/>
          <w:b/>
          <w:i/>
          <w:iCs/>
          <w:sz w:val="20"/>
          <w:szCs w:val="22"/>
          <w:u w:val="single"/>
        </w:rPr>
        <w:t>O estágio probatório do servidor público não autoriza sua exoneração por insuficiência de </w:t>
      </w:r>
      <w:r w:rsidRPr="00432926">
        <w:rPr>
          <w:rFonts w:ascii="Century Gothic" w:hAnsi="Century Gothic" w:cs="Arial"/>
          <w:b/>
          <w:bCs/>
          <w:i/>
          <w:iCs/>
          <w:sz w:val="20"/>
          <w:szCs w:val="22"/>
          <w:u w:val="single"/>
        </w:rPr>
        <w:t>desempenho</w:t>
      </w:r>
      <w:r w:rsidRPr="00432926">
        <w:rPr>
          <w:rFonts w:ascii="Century Gothic" w:hAnsi="Century Gothic" w:cs="Arial"/>
          <w:b/>
          <w:i/>
          <w:iCs/>
          <w:sz w:val="20"/>
          <w:szCs w:val="22"/>
          <w:u w:val="single"/>
        </w:rPr>
        <w:t> profissional sem a observância do devido processo legal, já que deve ser oportunizada a </w:t>
      </w:r>
      <w:r w:rsidRPr="00432926">
        <w:rPr>
          <w:rFonts w:ascii="Century Gothic" w:hAnsi="Century Gothic" w:cs="Arial"/>
          <w:b/>
          <w:bCs/>
          <w:i/>
          <w:iCs/>
          <w:sz w:val="20"/>
          <w:szCs w:val="22"/>
          <w:u w:val="single"/>
        </w:rPr>
        <w:t>ampla defesa</w:t>
      </w:r>
      <w:r w:rsidRPr="00432926">
        <w:rPr>
          <w:rFonts w:ascii="Century Gothic" w:hAnsi="Century Gothic" w:cs="Arial"/>
          <w:b/>
          <w:i/>
          <w:iCs/>
          <w:sz w:val="20"/>
          <w:szCs w:val="22"/>
          <w:u w:val="single"/>
        </w:rPr>
        <w:t> quanto às </w:t>
      </w:r>
      <w:r w:rsidRPr="00432926">
        <w:rPr>
          <w:rFonts w:ascii="Century Gothic" w:hAnsi="Century Gothic" w:cs="Arial"/>
          <w:b/>
          <w:bCs/>
          <w:i/>
          <w:iCs/>
          <w:sz w:val="20"/>
          <w:szCs w:val="22"/>
          <w:u w:val="single"/>
        </w:rPr>
        <w:t>avaliações</w:t>
      </w:r>
      <w:r w:rsidRPr="00432926">
        <w:rPr>
          <w:rFonts w:ascii="Century Gothic" w:hAnsi="Century Gothic" w:cs="Arial"/>
          <w:b/>
          <w:i/>
          <w:iCs/>
          <w:sz w:val="20"/>
          <w:szCs w:val="22"/>
          <w:u w:val="single"/>
        </w:rPr>
        <w:t> negativas</w:t>
      </w:r>
      <w:r w:rsidRPr="00432926">
        <w:rPr>
          <w:rFonts w:ascii="Century Gothic" w:hAnsi="Century Gothic" w:cs="Arial"/>
          <w:b/>
          <w:i/>
          <w:iCs/>
          <w:sz w:val="20"/>
          <w:szCs w:val="22"/>
        </w:rPr>
        <w:t xml:space="preserve">. 3. Concluindo pela nulidade do ato administrativo que culminou com a exoneração do servidor, </w:t>
      </w:r>
      <w:r w:rsidRPr="00432926">
        <w:rPr>
          <w:rFonts w:ascii="Century Gothic" w:hAnsi="Century Gothic" w:cs="Arial"/>
          <w:b/>
          <w:i/>
          <w:iCs/>
          <w:sz w:val="20"/>
          <w:szCs w:val="22"/>
        </w:rPr>
        <w:lastRenderedPageBreak/>
        <w:t xml:space="preserve">os efeitos se operam </w:t>
      </w:r>
      <w:proofErr w:type="spellStart"/>
      <w:r w:rsidRPr="00432926">
        <w:rPr>
          <w:rFonts w:ascii="Century Gothic" w:hAnsi="Century Gothic" w:cs="Arial"/>
          <w:b/>
          <w:i/>
          <w:iCs/>
          <w:sz w:val="20"/>
          <w:szCs w:val="22"/>
        </w:rPr>
        <w:t>ex</w:t>
      </w:r>
      <w:proofErr w:type="spellEnd"/>
      <w:r w:rsidRPr="00432926">
        <w:rPr>
          <w:rFonts w:ascii="Century Gothic" w:hAnsi="Century Gothic" w:cs="Arial"/>
          <w:b/>
          <w:i/>
          <w:iCs/>
          <w:sz w:val="20"/>
          <w:szCs w:val="22"/>
        </w:rPr>
        <w:t xml:space="preserve"> </w:t>
      </w:r>
      <w:proofErr w:type="spellStart"/>
      <w:r w:rsidRPr="00432926">
        <w:rPr>
          <w:rFonts w:ascii="Century Gothic" w:hAnsi="Century Gothic" w:cs="Arial"/>
          <w:b/>
          <w:i/>
          <w:iCs/>
          <w:sz w:val="20"/>
          <w:szCs w:val="22"/>
        </w:rPr>
        <w:t>tunc</w:t>
      </w:r>
      <w:proofErr w:type="spellEnd"/>
      <w:r w:rsidRPr="00432926">
        <w:rPr>
          <w:rFonts w:ascii="Century Gothic" w:hAnsi="Century Gothic" w:cs="Arial"/>
          <w:b/>
          <w:i/>
          <w:iCs/>
          <w:sz w:val="20"/>
          <w:szCs w:val="22"/>
        </w:rPr>
        <w:t>, restabelecendo-se o estado anterior, com a reintegração ao cargo e direito ao tempo de serviço, vencimentos e às vantagens que seriam pagas ao servidor durante todo o afastamento, de modo a preservar lhe todos os direitos atingidos pela ilegalidade</w:t>
      </w:r>
      <w:r w:rsidRPr="00432926">
        <w:rPr>
          <w:rFonts w:ascii="Century Gothic" w:hAnsi="Century Gothic" w:cs="Arial"/>
          <w:i/>
          <w:iCs/>
          <w:sz w:val="20"/>
          <w:szCs w:val="22"/>
        </w:rPr>
        <w:t>. 4. Agravo retido, apelação e remessa oficial não providos.</w:t>
      </w:r>
      <w:r>
        <w:rPr>
          <w:rFonts w:ascii="Century Gothic" w:hAnsi="Century Gothic" w:cs="Arial"/>
          <w:i/>
          <w:iCs/>
          <w:sz w:val="20"/>
          <w:szCs w:val="22"/>
        </w:rPr>
        <w:t xml:space="preserve"> (TRF-1ªR, Apelação Cível nº </w:t>
      </w:r>
      <w:r w:rsidRPr="00432926">
        <w:rPr>
          <w:rFonts w:ascii="Century Gothic" w:hAnsi="Century Gothic" w:cs="Arial"/>
          <w:i/>
          <w:iCs/>
          <w:sz w:val="20"/>
          <w:szCs w:val="22"/>
        </w:rPr>
        <w:t>199938000313924</w:t>
      </w:r>
      <w:r>
        <w:rPr>
          <w:rFonts w:ascii="Century Gothic" w:hAnsi="Century Gothic" w:cs="Arial"/>
          <w:i/>
          <w:iCs/>
          <w:sz w:val="20"/>
          <w:szCs w:val="22"/>
        </w:rPr>
        <w:t>, 1ª Turma, Rel. Juiz Federal (Convocado) Miguel Ângelo Alvarenga Lopes, julgado em 29/11/2006, DJ 22/01/2007, p. 04)</w:t>
      </w:r>
    </w:p>
    <w:p w:rsidR="00432926" w:rsidRDefault="00432926" w:rsidP="0043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p>
    <w:p w:rsidR="00432926" w:rsidRDefault="00432926" w:rsidP="0043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r w:rsidRPr="00432926">
        <w:rPr>
          <w:rFonts w:ascii="Century Gothic" w:hAnsi="Century Gothic" w:cs="Arial"/>
          <w:i/>
          <w:iCs/>
          <w:sz w:val="20"/>
          <w:szCs w:val="22"/>
        </w:rPr>
        <w:t xml:space="preserve">CONSTITUCIONAL E ADMINISTRATIVO. </w:t>
      </w:r>
      <w:r w:rsidRPr="00432926">
        <w:rPr>
          <w:rFonts w:ascii="Century Gothic" w:hAnsi="Century Gothic" w:cs="Arial"/>
          <w:b/>
          <w:i/>
          <w:iCs/>
          <w:sz w:val="20"/>
          <w:szCs w:val="22"/>
        </w:rPr>
        <w:t>SERVIDOR PÚBLICO EM ESTÁGIO PROBATÓRIO. EXONERAÇÃO. </w:t>
      </w:r>
      <w:r w:rsidRPr="00432926">
        <w:rPr>
          <w:rFonts w:ascii="Century Gothic" w:hAnsi="Century Gothic" w:cs="Arial"/>
          <w:b/>
          <w:bCs/>
          <w:i/>
          <w:iCs/>
          <w:sz w:val="20"/>
          <w:szCs w:val="22"/>
        </w:rPr>
        <w:t>CONTRADITÓRIO</w:t>
      </w:r>
      <w:r w:rsidRPr="00432926">
        <w:rPr>
          <w:rFonts w:ascii="Century Gothic" w:hAnsi="Century Gothic" w:cs="Arial"/>
          <w:b/>
          <w:i/>
          <w:iCs/>
          <w:sz w:val="20"/>
          <w:szCs w:val="22"/>
        </w:rPr>
        <w:t> E </w:t>
      </w:r>
      <w:r w:rsidRPr="00432926">
        <w:rPr>
          <w:rFonts w:ascii="Century Gothic" w:hAnsi="Century Gothic" w:cs="Arial"/>
          <w:b/>
          <w:bCs/>
          <w:i/>
          <w:iCs/>
          <w:sz w:val="20"/>
          <w:szCs w:val="22"/>
        </w:rPr>
        <w:t>AMPLA DEFESA.</w:t>
      </w:r>
      <w:r w:rsidRPr="00432926">
        <w:rPr>
          <w:rFonts w:ascii="Century Gothic" w:hAnsi="Century Gothic" w:cs="Arial"/>
          <w:b/>
          <w:i/>
          <w:iCs/>
          <w:sz w:val="20"/>
          <w:szCs w:val="22"/>
        </w:rPr>
        <w:t> NÃO OBSERVAÇÃO. REINTEGRAÇÃO. LEI 8.112/90, ART. 20</w:t>
      </w:r>
      <w:r w:rsidRPr="00432926">
        <w:rPr>
          <w:rFonts w:ascii="Century Gothic" w:hAnsi="Century Gothic" w:cs="Arial"/>
          <w:i/>
          <w:iCs/>
          <w:sz w:val="20"/>
          <w:szCs w:val="22"/>
        </w:rPr>
        <w:t>. PEDIDO PROCEDENTE. 1. Para </w:t>
      </w:r>
      <w:r w:rsidRPr="00432926">
        <w:rPr>
          <w:rFonts w:ascii="Century Gothic" w:hAnsi="Century Gothic" w:cs="Arial"/>
          <w:bCs/>
          <w:i/>
          <w:iCs/>
          <w:sz w:val="20"/>
          <w:szCs w:val="22"/>
        </w:rPr>
        <w:t>avaliação</w:t>
      </w:r>
      <w:r w:rsidRPr="00432926">
        <w:rPr>
          <w:rFonts w:ascii="Century Gothic" w:hAnsi="Century Gothic" w:cs="Arial"/>
          <w:i/>
          <w:iCs/>
          <w:sz w:val="20"/>
          <w:szCs w:val="22"/>
        </w:rPr>
        <w:t> do </w:t>
      </w:r>
      <w:r w:rsidRPr="00432926">
        <w:rPr>
          <w:rFonts w:ascii="Century Gothic" w:hAnsi="Century Gothic" w:cs="Arial"/>
          <w:bCs/>
          <w:i/>
          <w:iCs/>
          <w:sz w:val="20"/>
          <w:szCs w:val="22"/>
        </w:rPr>
        <w:t>desempenho</w:t>
      </w:r>
      <w:r w:rsidRPr="00432926">
        <w:rPr>
          <w:rFonts w:ascii="Century Gothic" w:hAnsi="Century Gothic" w:cs="Arial"/>
          <w:i/>
          <w:iCs/>
          <w:sz w:val="20"/>
          <w:szCs w:val="22"/>
        </w:rPr>
        <w:t xml:space="preserve"> do servidor em estágio probatório não há necessidade de instauração de processo administrativo disciplinar, uma vez que essa exoneração não constitui penalidade, não é demissão. </w:t>
      </w:r>
      <w:r w:rsidRPr="00432926">
        <w:rPr>
          <w:rFonts w:ascii="Century Gothic" w:hAnsi="Century Gothic" w:cs="Arial"/>
          <w:b/>
          <w:i/>
          <w:iCs/>
          <w:sz w:val="20"/>
          <w:szCs w:val="22"/>
        </w:rPr>
        <w:t>Entretanto, é indispensável que os fatos sejam apurados em procedimento regular, conferindo-se ao servidor o </w:t>
      </w:r>
      <w:r w:rsidRPr="00432926">
        <w:rPr>
          <w:rFonts w:ascii="Century Gothic" w:hAnsi="Century Gothic" w:cs="Arial"/>
          <w:b/>
          <w:bCs/>
          <w:i/>
          <w:iCs/>
          <w:sz w:val="20"/>
          <w:szCs w:val="22"/>
        </w:rPr>
        <w:t>contraditório</w:t>
      </w:r>
      <w:r w:rsidRPr="00432926">
        <w:rPr>
          <w:rFonts w:ascii="Century Gothic" w:hAnsi="Century Gothic" w:cs="Arial"/>
          <w:b/>
          <w:i/>
          <w:iCs/>
          <w:sz w:val="20"/>
          <w:szCs w:val="22"/>
        </w:rPr>
        <w:t> e a </w:t>
      </w:r>
      <w:r w:rsidRPr="00432926">
        <w:rPr>
          <w:rFonts w:ascii="Century Gothic" w:hAnsi="Century Gothic" w:cs="Arial"/>
          <w:b/>
          <w:bCs/>
          <w:i/>
          <w:iCs/>
          <w:sz w:val="20"/>
          <w:szCs w:val="22"/>
        </w:rPr>
        <w:t>ampla defesa</w:t>
      </w:r>
      <w:r w:rsidRPr="00432926">
        <w:rPr>
          <w:rFonts w:ascii="Century Gothic" w:hAnsi="Century Gothic" w:cs="Arial"/>
          <w:b/>
          <w:i/>
          <w:iCs/>
          <w:sz w:val="20"/>
          <w:szCs w:val="22"/>
        </w:rPr>
        <w:t> (Constituição Federal, art. 5º, inciso LV). 2. Precedentes. 3. "Funcionário em estágio probatório não pode ser exonerado nem demitido sem inquérito ou sem as formalidades legais de apuração de sua capacidade." (STF, Súmula 21)</w:t>
      </w:r>
      <w:r w:rsidRPr="00432926">
        <w:rPr>
          <w:rFonts w:ascii="Century Gothic" w:hAnsi="Century Gothic" w:cs="Arial"/>
          <w:i/>
          <w:iCs/>
          <w:sz w:val="20"/>
          <w:szCs w:val="22"/>
        </w:rPr>
        <w:t>. 4. A par dos equívocos cometidos na </w:t>
      </w:r>
      <w:r w:rsidRPr="00432926">
        <w:rPr>
          <w:rFonts w:ascii="Century Gothic" w:hAnsi="Century Gothic" w:cs="Arial"/>
          <w:bCs/>
          <w:i/>
          <w:iCs/>
          <w:sz w:val="20"/>
          <w:szCs w:val="22"/>
        </w:rPr>
        <w:t>avaliação</w:t>
      </w:r>
      <w:r w:rsidRPr="00432926">
        <w:rPr>
          <w:rFonts w:ascii="Century Gothic" w:hAnsi="Century Gothic" w:cs="Arial"/>
          <w:i/>
          <w:iCs/>
          <w:sz w:val="20"/>
          <w:szCs w:val="22"/>
        </w:rPr>
        <w:t> do suplicante, este foi exonerado do serviço público sem a observância das formalidades legais. Logo, deve ser reintegrado no cargo. 5. Remessa oficial a que se nega provimento</w:t>
      </w:r>
      <w:r>
        <w:rPr>
          <w:rFonts w:ascii="Century Gothic" w:hAnsi="Century Gothic" w:cs="Arial"/>
          <w:i/>
          <w:iCs/>
          <w:sz w:val="20"/>
          <w:szCs w:val="22"/>
        </w:rPr>
        <w:t xml:space="preserve">. (TRF-1ªR, Reexame </w:t>
      </w:r>
      <w:r w:rsidRPr="00432926">
        <w:rPr>
          <w:rFonts w:ascii="Century Gothic" w:hAnsi="Century Gothic" w:cs="Arial"/>
          <w:i/>
          <w:iCs/>
          <w:sz w:val="20"/>
          <w:szCs w:val="22"/>
          <w:lang w:val="la-Latn"/>
        </w:rPr>
        <w:t>Ex</w:t>
      </w:r>
      <w:r>
        <w:rPr>
          <w:rFonts w:ascii="Century Gothic" w:hAnsi="Century Gothic" w:cs="Arial"/>
          <w:i/>
          <w:iCs/>
          <w:sz w:val="20"/>
          <w:szCs w:val="22"/>
        </w:rPr>
        <w:t xml:space="preserve"> </w:t>
      </w:r>
      <w:r w:rsidRPr="00432926">
        <w:rPr>
          <w:rFonts w:ascii="Century Gothic" w:hAnsi="Century Gothic" w:cs="Arial"/>
          <w:i/>
          <w:iCs/>
          <w:sz w:val="20"/>
          <w:szCs w:val="22"/>
          <w:lang w:val="la-Latn"/>
        </w:rPr>
        <w:t>Officio</w:t>
      </w:r>
      <w:r>
        <w:rPr>
          <w:rFonts w:ascii="Century Gothic" w:hAnsi="Century Gothic" w:cs="Arial"/>
          <w:i/>
          <w:iCs/>
          <w:sz w:val="20"/>
          <w:szCs w:val="22"/>
        </w:rPr>
        <w:t xml:space="preserve"> nº </w:t>
      </w:r>
      <w:r w:rsidRPr="00432926">
        <w:rPr>
          <w:rFonts w:ascii="Century Gothic" w:hAnsi="Century Gothic" w:cs="Arial"/>
          <w:i/>
          <w:iCs/>
          <w:sz w:val="20"/>
          <w:szCs w:val="22"/>
        </w:rPr>
        <w:t>199941000046893</w:t>
      </w:r>
      <w:r>
        <w:rPr>
          <w:rFonts w:ascii="Century Gothic" w:hAnsi="Century Gothic" w:cs="Arial"/>
          <w:i/>
          <w:iCs/>
          <w:sz w:val="20"/>
          <w:szCs w:val="22"/>
        </w:rPr>
        <w:t>, 1ª Turma, Rel. Juiz Federal (Convocado) Manoel José Ferreira Nunes, julgado em 19/07/2006, DJ 09/10/2006, p. 6)</w:t>
      </w:r>
    </w:p>
    <w:p w:rsidR="004C7124" w:rsidRDefault="004C7124" w:rsidP="00432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268"/>
        <w:jc w:val="both"/>
        <w:rPr>
          <w:rFonts w:ascii="Century Gothic" w:hAnsi="Century Gothic" w:cs="Arial"/>
          <w:i/>
          <w:iCs/>
          <w:sz w:val="20"/>
          <w:szCs w:val="22"/>
        </w:rPr>
      </w:pPr>
    </w:p>
    <w:p w:rsidR="00511F8F" w:rsidRPr="00290909" w:rsidRDefault="00511F8F" w:rsidP="00511F8F">
      <w:pPr>
        <w:spacing w:line="276" w:lineRule="auto"/>
        <w:ind w:firstLine="1440"/>
        <w:jc w:val="both"/>
        <w:rPr>
          <w:rFonts w:ascii="Century Gothic" w:hAnsi="Century Gothic" w:cs="Arial"/>
          <w:szCs w:val="22"/>
        </w:rPr>
      </w:pPr>
      <w:r w:rsidRPr="00290909">
        <w:rPr>
          <w:rFonts w:ascii="Century Gothic" w:hAnsi="Century Gothic" w:cs="Arial"/>
          <w:szCs w:val="22"/>
        </w:rPr>
        <w:t>Dessa forma, diante de todo o exposto, podemos sintetizar as conclusões alcançadas ao longo deste parecer da seguinte forma:</w:t>
      </w:r>
    </w:p>
    <w:p w:rsidR="00511F8F" w:rsidRPr="009902D4" w:rsidRDefault="00511F8F" w:rsidP="00511F8F">
      <w:pPr>
        <w:spacing w:line="276" w:lineRule="auto"/>
        <w:jc w:val="both"/>
        <w:rPr>
          <w:rFonts w:ascii="Century Gothic" w:hAnsi="Century Gothic" w:cs="Arial"/>
          <w:szCs w:val="22"/>
          <w:highlight w:val="yellow"/>
        </w:rPr>
      </w:pPr>
    </w:p>
    <w:p w:rsidR="00511F8F" w:rsidRPr="008F407D" w:rsidRDefault="00511F8F" w:rsidP="008F4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entury Gothic" w:hAnsi="Century Gothic" w:cs="Arial"/>
          <w:iCs/>
          <w:szCs w:val="22"/>
        </w:rPr>
      </w:pPr>
      <w:r w:rsidRPr="008F407D">
        <w:rPr>
          <w:rFonts w:ascii="Century Gothic" w:hAnsi="Century Gothic" w:cs="Arial"/>
          <w:szCs w:val="22"/>
        </w:rPr>
        <w:t xml:space="preserve">- </w:t>
      </w:r>
      <w:r w:rsidR="008F407D">
        <w:rPr>
          <w:rFonts w:ascii="Century Gothic" w:hAnsi="Century Gothic" w:cs="Arial"/>
          <w:szCs w:val="22"/>
        </w:rPr>
        <w:t xml:space="preserve">A legislação ordinária estabelece onze elementos que deverão ser </w:t>
      </w:r>
      <w:r w:rsidR="008F407D">
        <w:rPr>
          <w:rFonts w:ascii="Century Gothic" w:hAnsi="Century Gothic" w:cs="Arial"/>
          <w:iCs/>
          <w:szCs w:val="22"/>
        </w:rPr>
        <w:t>objeto de apreciação durante o estágio probatório, dentre os quais se insere a p</w:t>
      </w:r>
      <w:r w:rsidR="008F407D" w:rsidRPr="003445ED">
        <w:rPr>
          <w:rFonts w:ascii="Century Gothic" w:hAnsi="Century Gothic" w:cs="Arial"/>
          <w:iCs/>
          <w:szCs w:val="22"/>
        </w:rPr>
        <w:t>articipação no Programa de Recepção de Docentes</w:t>
      </w:r>
      <w:r w:rsidR="008F407D">
        <w:rPr>
          <w:rFonts w:ascii="Century Gothic" w:hAnsi="Century Gothic" w:cs="Arial"/>
          <w:iCs/>
          <w:szCs w:val="22"/>
        </w:rPr>
        <w:t>, a ser instituída pela IFE</w:t>
      </w:r>
      <w:r w:rsidRPr="008F407D">
        <w:rPr>
          <w:rFonts w:ascii="Century Gothic" w:hAnsi="Century Gothic" w:cs="Arial"/>
          <w:szCs w:val="22"/>
        </w:rPr>
        <w:t>;</w:t>
      </w:r>
    </w:p>
    <w:p w:rsidR="00511F8F" w:rsidRPr="008F407D" w:rsidRDefault="00511F8F" w:rsidP="00511F8F">
      <w:pPr>
        <w:spacing w:line="276" w:lineRule="auto"/>
        <w:jc w:val="both"/>
        <w:rPr>
          <w:rFonts w:ascii="Century Gothic" w:hAnsi="Century Gothic" w:cs="Arial"/>
          <w:szCs w:val="22"/>
        </w:rPr>
      </w:pPr>
    </w:p>
    <w:p w:rsidR="00511F8F" w:rsidRPr="008F407D" w:rsidRDefault="00511F8F" w:rsidP="00511F8F">
      <w:pPr>
        <w:spacing w:line="276" w:lineRule="auto"/>
        <w:jc w:val="both"/>
        <w:rPr>
          <w:rFonts w:ascii="Century Gothic" w:hAnsi="Century Gothic" w:cs="Arial"/>
          <w:szCs w:val="22"/>
        </w:rPr>
      </w:pPr>
      <w:r w:rsidRPr="008F407D">
        <w:rPr>
          <w:rFonts w:ascii="Century Gothic" w:hAnsi="Century Gothic" w:cs="Arial"/>
          <w:szCs w:val="22"/>
        </w:rPr>
        <w:t xml:space="preserve">- </w:t>
      </w:r>
      <w:r w:rsidR="008F407D">
        <w:rPr>
          <w:rFonts w:ascii="Century Gothic" w:hAnsi="Century Gothic" w:cs="Arial"/>
          <w:szCs w:val="22"/>
        </w:rPr>
        <w:t>Tais critérios deverão ser analisados de forma sistêmica na avaliação de desempenho relacionada ao estágio probatório. Todos os fatores elencados legalmente hão de receber a devida ponderação pela Administração, sendo ilegal a utilização isolada de um único critério para fins de verificação da aptidão funcional do servidor</w:t>
      </w:r>
      <w:r w:rsidRPr="008F407D">
        <w:rPr>
          <w:rFonts w:ascii="Century Gothic" w:hAnsi="Century Gothic" w:cs="Arial"/>
          <w:szCs w:val="22"/>
        </w:rPr>
        <w:t>;</w:t>
      </w:r>
    </w:p>
    <w:p w:rsidR="00511F8F" w:rsidRPr="008F407D" w:rsidRDefault="00511F8F" w:rsidP="00511F8F">
      <w:pPr>
        <w:spacing w:line="276" w:lineRule="auto"/>
        <w:jc w:val="both"/>
        <w:rPr>
          <w:rFonts w:ascii="Century Gothic" w:hAnsi="Century Gothic" w:cs="Arial"/>
          <w:szCs w:val="22"/>
        </w:rPr>
      </w:pPr>
    </w:p>
    <w:p w:rsidR="00511F8F" w:rsidRPr="008F407D" w:rsidRDefault="00511F8F" w:rsidP="00511F8F">
      <w:pPr>
        <w:spacing w:line="276" w:lineRule="auto"/>
        <w:jc w:val="both"/>
        <w:rPr>
          <w:rFonts w:ascii="Century Gothic" w:hAnsi="Century Gothic" w:cs="Arial"/>
          <w:szCs w:val="22"/>
        </w:rPr>
      </w:pPr>
      <w:r w:rsidRPr="008F407D">
        <w:rPr>
          <w:rFonts w:ascii="Century Gothic" w:hAnsi="Century Gothic" w:cs="Arial"/>
          <w:szCs w:val="22"/>
        </w:rPr>
        <w:t xml:space="preserve">- </w:t>
      </w:r>
      <w:r w:rsidR="008F407D">
        <w:rPr>
          <w:rFonts w:ascii="Century Gothic" w:hAnsi="Century Gothic" w:cs="Arial"/>
          <w:szCs w:val="22"/>
        </w:rPr>
        <w:t xml:space="preserve">Conquanto a participação insuficiente no Programa de Recepção de Docentes não </w:t>
      </w:r>
      <w:r w:rsidR="002365A6">
        <w:rPr>
          <w:rFonts w:ascii="Century Gothic" w:hAnsi="Century Gothic" w:cs="Arial"/>
          <w:szCs w:val="22"/>
        </w:rPr>
        <w:t xml:space="preserve">autorize, por si só, a reprovação no estágio probatório, tal </w:t>
      </w:r>
      <w:r w:rsidR="002365A6">
        <w:rPr>
          <w:rFonts w:ascii="Century Gothic" w:hAnsi="Century Gothic" w:cs="Arial"/>
          <w:szCs w:val="22"/>
        </w:rPr>
        <w:lastRenderedPageBreak/>
        <w:t>falha, assim como a deficiência no preenchimento de qualquer outro elemento citado pela legislação, refletirá de forma negativa no resultado final da avalição de desempenho. Assim, é recomendável a realização de cursos vinculados ao referido Programa;</w:t>
      </w:r>
    </w:p>
    <w:p w:rsidR="00511F8F" w:rsidRPr="008F407D" w:rsidRDefault="00511F8F" w:rsidP="00511F8F">
      <w:pPr>
        <w:spacing w:line="276" w:lineRule="auto"/>
        <w:jc w:val="both"/>
        <w:rPr>
          <w:rFonts w:ascii="Century Gothic" w:hAnsi="Century Gothic" w:cs="Arial"/>
          <w:szCs w:val="22"/>
        </w:rPr>
      </w:pPr>
    </w:p>
    <w:p w:rsidR="00511F8F" w:rsidRPr="007554DC" w:rsidRDefault="00511F8F" w:rsidP="00511F8F">
      <w:pPr>
        <w:spacing w:line="276" w:lineRule="auto"/>
        <w:jc w:val="both"/>
        <w:rPr>
          <w:rFonts w:ascii="Century Gothic" w:hAnsi="Century Gothic" w:cs="Arial"/>
          <w:szCs w:val="22"/>
        </w:rPr>
      </w:pPr>
      <w:r w:rsidRPr="008F407D">
        <w:rPr>
          <w:rFonts w:ascii="Century Gothic" w:hAnsi="Century Gothic" w:cs="Arial"/>
          <w:szCs w:val="22"/>
        </w:rPr>
        <w:t>-</w:t>
      </w:r>
      <w:r w:rsidR="002365A6">
        <w:rPr>
          <w:rFonts w:ascii="Century Gothic" w:hAnsi="Century Gothic" w:cs="Arial"/>
          <w:szCs w:val="22"/>
        </w:rPr>
        <w:t xml:space="preserve"> </w:t>
      </w:r>
      <w:r w:rsidR="00FA32F8">
        <w:rPr>
          <w:rFonts w:ascii="Century Gothic" w:hAnsi="Century Gothic" w:cs="Arial"/>
          <w:szCs w:val="22"/>
        </w:rPr>
        <w:t xml:space="preserve">Em qualquer hipótese, </w:t>
      </w:r>
      <w:r w:rsidR="00FA32F8">
        <w:rPr>
          <w:rFonts w:ascii="Century Gothic" w:hAnsi="Century Gothic" w:cs="Arial"/>
          <w:iCs/>
          <w:szCs w:val="22"/>
        </w:rPr>
        <w:t>o servidor que receber uma baixa pontuação durante seu estágio probatório poderá exercitar seu direito de defesa, bem como de contraditar a avaliação, sob pena de o procedimento ser considerado inválido por infração aos princípios constitucionais da ampla defesa e do contraditório</w:t>
      </w:r>
      <w:r w:rsidRPr="008F407D">
        <w:rPr>
          <w:rFonts w:ascii="Century Gothic" w:hAnsi="Century Gothic" w:cs="Arial"/>
          <w:szCs w:val="22"/>
        </w:rPr>
        <w:t>.</w:t>
      </w:r>
    </w:p>
    <w:p w:rsidR="00511F8F" w:rsidRPr="007554DC" w:rsidRDefault="00511F8F" w:rsidP="00511F8F">
      <w:pPr>
        <w:spacing w:line="276" w:lineRule="auto"/>
        <w:jc w:val="both"/>
        <w:rPr>
          <w:rFonts w:ascii="Century Gothic" w:hAnsi="Century Gothic" w:cs="Arial"/>
          <w:szCs w:val="22"/>
        </w:rPr>
      </w:pPr>
    </w:p>
    <w:p w:rsidR="00511F8F" w:rsidRPr="007554DC" w:rsidRDefault="00511F8F" w:rsidP="00511F8F">
      <w:pPr>
        <w:spacing w:line="276" w:lineRule="auto"/>
        <w:ind w:firstLine="1440"/>
        <w:jc w:val="both"/>
        <w:rPr>
          <w:rFonts w:ascii="Century Gothic" w:hAnsi="Century Gothic" w:cs="Arial"/>
          <w:szCs w:val="22"/>
        </w:rPr>
      </w:pPr>
      <w:r w:rsidRPr="007554DC">
        <w:rPr>
          <w:rFonts w:ascii="Century Gothic" w:hAnsi="Century Gothic" w:cs="Arial"/>
          <w:szCs w:val="22"/>
        </w:rPr>
        <w:t xml:space="preserve">Este é o parecer, salvo melhor juízo. </w:t>
      </w:r>
    </w:p>
    <w:p w:rsidR="00511F8F" w:rsidRPr="007554DC" w:rsidRDefault="00511F8F" w:rsidP="00511F8F">
      <w:pPr>
        <w:spacing w:line="276" w:lineRule="auto"/>
        <w:ind w:firstLine="1134"/>
        <w:jc w:val="both"/>
        <w:rPr>
          <w:rFonts w:ascii="Century Gothic" w:hAnsi="Century Gothic" w:cs="Arial"/>
          <w:szCs w:val="22"/>
        </w:rPr>
      </w:pPr>
    </w:p>
    <w:p w:rsidR="00511F8F" w:rsidRDefault="00511F8F" w:rsidP="00BD37A6">
      <w:pPr>
        <w:spacing w:line="276" w:lineRule="auto"/>
        <w:jc w:val="right"/>
        <w:rPr>
          <w:rFonts w:ascii="Century Gothic" w:hAnsi="Century Gothic" w:cs="Arial"/>
          <w:szCs w:val="22"/>
        </w:rPr>
      </w:pPr>
      <w:r w:rsidRPr="007554DC">
        <w:rPr>
          <w:rFonts w:ascii="Century Gothic" w:hAnsi="Century Gothic" w:cs="Arial"/>
          <w:szCs w:val="22"/>
        </w:rPr>
        <w:t xml:space="preserve">Juiz de Fora, </w:t>
      </w:r>
      <w:r>
        <w:rPr>
          <w:rFonts w:ascii="Century Gothic" w:hAnsi="Century Gothic" w:cs="Arial"/>
          <w:szCs w:val="22"/>
        </w:rPr>
        <w:t>04 de abril de 2014</w:t>
      </w:r>
      <w:r w:rsidRPr="007554DC">
        <w:rPr>
          <w:rFonts w:ascii="Century Gothic" w:hAnsi="Century Gothic" w:cs="Arial"/>
          <w:szCs w:val="22"/>
        </w:rPr>
        <w:t>.</w:t>
      </w:r>
    </w:p>
    <w:p w:rsidR="00511F8F" w:rsidRPr="007554DC" w:rsidRDefault="00511F8F" w:rsidP="00511F8F">
      <w:pPr>
        <w:spacing w:line="276" w:lineRule="auto"/>
        <w:ind w:firstLine="1134"/>
        <w:jc w:val="right"/>
        <w:rPr>
          <w:rFonts w:ascii="Century Gothic" w:hAnsi="Century Gothic" w:cs="Arial"/>
          <w:szCs w:val="22"/>
        </w:rPr>
      </w:pPr>
      <w:r w:rsidRPr="007554DC">
        <w:rPr>
          <w:rFonts w:ascii="Century Gothic" w:hAnsi="Century Gothic" w:cs="Arial"/>
          <w:szCs w:val="22"/>
        </w:rPr>
        <w:t xml:space="preserve"> </w:t>
      </w:r>
    </w:p>
    <w:p w:rsidR="00511F8F" w:rsidRPr="007554DC" w:rsidRDefault="00511F8F" w:rsidP="00511F8F">
      <w:pPr>
        <w:spacing w:line="276" w:lineRule="auto"/>
        <w:ind w:firstLine="1134"/>
        <w:jc w:val="both"/>
        <w:rPr>
          <w:rFonts w:ascii="Century Gothic" w:hAnsi="Century Gothic" w:cs="Arial"/>
          <w:szCs w:val="22"/>
        </w:rPr>
      </w:pPr>
    </w:p>
    <w:p w:rsidR="00511F8F" w:rsidRPr="007554DC" w:rsidRDefault="00511F8F" w:rsidP="00511F8F">
      <w:pPr>
        <w:spacing w:line="276" w:lineRule="auto"/>
        <w:jc w:val="center"/>
        <w:rPr>
          <w:rFonts w:ascii="Century Gothic" w:hAnsi="Century Gothic" w:cs="Arial"/>
          <w:szCs w:val="22"/>
        </w:rPr>
        <w:sectPr w:rsidR="00511F8F" w:rsidRPr="007554DC" w:rsidSect="00511F8F">
          <w:headerReference w:type="default" r:id="rId9"/>
          <w:footerReference w:type="default" r:id="rId10"/>
          <w:pgSz w:w="11906" w:h="16838"/>
          <w:pgMar w:top="1134" w:right="1417" w:bottom="1134" w:left="1417" w:header="709" w:footer="709" w:gutter="0"/>
          <w:cols w:space="708"/>
          <w:docGrid w:linePitch="360"/>
        </w:sectPr>
      </w:pPr>
    </w:p>
    <w:p w:rsidR="00511F8F" w:rsidRPr="007554DC" w:rsidRDefault="00511F8F" w:rsidP="00511F8F">
      <w:pPr>
        <w:spacing w:line="276" w:lineRule="auto"/>
        <w:jc w:val="center"/>
        <w:rPr>
          <w:rFonts w:ascii="Century Gothic" w:hAnsi="Century Gothic" w:cs="Arial"/>
          <w:szCs w:val="22"/>
        </w:rPr>
      </w:pPr>
      <w:r w:rsidRPr="007554DC">
        <w:rPr>
          <w:rFonts w:ascii="Century Gothic" w:hAnsi="Century Gothic" w:cs="Arial"/>
          <w:szCs w:val="22"/>
        </w:rPr>
        <w:lastRenderedPageBreak/>
        <w:t>_______</w:t>
      </w:r>
      <w:r>
        <w:rPr>
          <w:rFonts w:ascii="Century Gothic" w:hAnsi="Century Gothic" w:cs="Arial"/>
          <w:szCs w:val="22"/>
        </w:rPr>
        <w:t>_____</w:t>
      </w:r>
      <w:r w:rsidRPr="007554DC">
        <w:rPr>
          <w:rFonts w:ascii="Century Gothic" w:hAnsi="Century Gothic" w:cs="Arial"/>
          <w:szCs w:val="22"/>
        </w:rPr>
        <w:t>_________________</w:t>
      </w:r>
    </w:p>
    <w:p w:rsidR="00511F8F" w:rsidRPr="007554DC" w:rsidRDefault="00511F8F" w:rsidP="00511F8F">
      <w:pPr>
        <w:spacing w:line="276" w:lineRule="auto"/>
        <w:jc w:val="center"/>
        <w:rPr>
          <w:rFonts w:ascii="Century Gothic" w:hAnsi="Century Gothic" w:cs="Arial"/>
          <w:b/>
          <w:i/>
          <w:szCs w:val="22"/>
        </w:rPr>
      </w:pPr>
      <w:r w:rsidRPr="007554DC">
        <w:rPr>
          <w:rFonts w:ascii="Century Gothic" w:hAnsi="Century Gothic" w:cs="Arial"/>
          <w:b/>
          <w:i/>
          <w:szCs w:val="22"/>
        </w:rPr>
        <w:t>Christofer Cunha Mansur</w:t>
      </w:r>
    </w:p>
    <w:p w:rsidR="00511F8F" w:rsidRPr="007554DC" w:rsidRDefault="00511F8F" w:rsidP="00511F8F">
      <w:pPr>
        <w:spacing w:line="276" w:lineRule="auto"/>
        <w:jc w:val="center"/>
        <w:rPr>
          <w:rFonts w:ascii="Century Gothic" w:hAnsi="Century Gothic" w:cs="Arial"/>
          <w:szCs w:val="22"/>
        </w:rPr>
      </w:pPr>
      <w:r w:rsidRPr="007554DC">
        <w:rPr>
          <w:rFonts w:ascii="Century Gothic" w:hAnsi="Century Gothic" w:cs="Arial"/>
          <w:szCs w:val="22"/>
        </w:rPr>
        <w:t>OAB/MG 93.236</w:t>
      </w:r>
    </w:p>
    <w:p w:rsidR="00511F8F" w:rsidRPr="007554DC" w:rsidRDefault="00511F8F" w:rsidP="00511F8F">
      <w:pPr>
        <w:spacing w:line="276" w:lineRule="auto"/>
        <w:jc w:val="center"/>
        <w:rPr>
          <w:rFonts w:ascii="Century Gothic" w:hAnsi="Century Gothic" w:cs="Arial"/>
          <w:szCs w:val="22"/>
        </w:rPr>
      </w:pPr>
    </w:p>
    <w:p w:rsidR="00511F8F" w:rsidRPr="007554DC" w:rsidRDefault="00511F8F" w:rsidP="00511F8F">
      <w:pPr>
        <w:spacing w:line="276" w:lineRule="auto"/>
        <w:jc w:val="center"/>
        <w:rPr>
          <w:rFonts w:ascii="Century Gothic" w:hAnsi="Century Gothic" w:cs="Arial"/>
          <w:szCs w:val="22"/>
        </w:rPr>
      </w:pPr>
      <w:r w:rsidRPr="007554DC">
        <w:rPr>
          <w:rFonts w:ascii="Century Gothic" w:hAnsi="Century Gothic" w:cs="Arial"/>
          <w:szCs w:val="22"/>
        </w:rPr>
        <w:lastRenderedPageBreak/>
        <w:t>______________</w:t>
      </w:r>
      <w:r>
        <w:rPr>
          <w:rFonts w:ascii="Century Gothic" w:hAnsi="Century Gothic" w:cs="Arial"/>
          <w:szCs w:val="22"/>
        </w:rPr>
        <w:t>_______</w:t>
      </w:r>
      <w:r w:rsidRPr="007554DC">
        <w:rPr>
          <w:rFonts w:ascii="Century Gothic" w:hAnsi="Century Gothic" w:cs="Arial"/>
          <w:szCs w:val="22"/>
        </w:rPr>
        <w:t>__________</w:t>
      </w:r>
    </w:p>
    <w:p w:rsidR="00511F8F" w:rsidRPr="007554DC" w:rsidRDefault="00511F8F" w:rsidP="00511F8F">
      <w:pPr>
        <w:spacing w:line="276" w:lineRule="auto"/>
        <w:jc w:val="center"/>
        <w:rPr>
          <w:rFonts w:ascii="Century Gothic" w:hAnsi="Century Gothic" w:cs="Arial"/>
          <w:b/>
          <w:i/>
          <w:szCs w:val="22"/>
        </w:rPr>
      </w:pPr>
      <w:r w:rsidRPr="007554DC">
        <w:rPr>
          <w:rFonts w:ascii="Century Gothic" w:hAnsi="Century Gothic" w:cs="Arial"/>
          <w:b/>
          <w:i/>
          <w:szCs w:val="22"/>
        </w:rPr>
        <w:t>Leonardo da Castro Pereira</w:t>
      </w:r>
    </w:p>
    <w:p w:rsidR="00511F8F" w:rsidRPr="007554DC" w:rsidRDefault="00511F8F" w:rsidP="00511F8F">
      <w:pPr>
        <w:spacing w:line="276" w:lineRule="auto"/>
        <w:jc w:val="center"/>
        <w:rPr>
          <w:rFonts w:ascii="Century Gothic" w:hAnsi="Century Gothic" w:cs="Arial"/>
          <w:szCs w:val="22"/>
        </w:rPr>
        <w:sectPr w:rsidR="00511F8F" w:rsidRPr="007554DC" w:rsidSect="00CB6742">
          <w:type w:val="continuous"/>
          <w:pgSz w:w="11906" w:h="16838"/>
          <w:pgMar w:top="1134" w:right="1417" w:bottom="1134" w:left="1417" w:header="709" w:footer="709" w:gutter="0"/>
          <w:cols w:num="2" w:space="708" w:equalWidth="0">
            <w:col w:w="4182" w:space="708"/>
            <w:col w:w="4182"/>
          </w:cols>
          <w:docGrid w:linePitch="360"/>
        </w:sectPr>
      </w:pPr>
      <w:r w:rsidRPr="007554DC">
        <w:rPr>
          <w:rFonts w:ascii="Century Gothic" w:hAnsi="Century Gothic" w:cs="Arial"/>
          <w:szCs w:val="22"/>
        </w:rPr>
        <w:t>OAB/MG 92.697</w:t>
      </w:r>
    </w:p>
    <w:p w:rsidR="00511F8F" w:rsidRPr="007554DC" w:rsidRDefault="00511F8F" w:rsidP="00511F8F">
      <w:pPr>
        <w:spacing w:line="276" w:lineRule="auto"/>
        <w:jc w:val="center"/>
        <w:rPr>
          <w:rFonts w:ascii="Century Gothic" w:hAnsi="Century Gothic" w:cs="Arial"/>
          <w:szCs w:val="22"/>
        </w:rPr>
      </w:pPr>
    </w:p>
    <w:p w:rsidR="00511F8F" w:rsidRPr="007554DC" w:rsidRDefault="00511F8F" w:rsidP="00511F8F">
      <w:pPr>
        <w:spacing w:line="276" w:lineRule="auto"/>
        <w:jc w:val="center"/>
        <w:rPr>
          <w:rFonts w:ascii="Century Gothic" w:hAnsi="Century Gothic" w:cs="Arial"/>
          <w:szCs w:val="22"/>
        </w:rPr>
        <w:sectPr w:rsidR="00511F8F" w:rsidRPr="007554DC" w:rsidSect="00E67272">
          <w:type w:val="continuous"/>
          <w:pgSz w:w="11906" w:h="16838"/>
          <w:pgMar w:top="1134" w:right="1417" w:bottom="1134" w:left="1417" w:header="709" w:footer="709" w:gutter="0"/>
          <w:cols w:space="708"/>
          <w:docGrid w:linePitch="360"/>
        </w:sectPr>
      </w:pPr>
    </w:p>
    <w:p w:rsidR="00511F8F" w:rsidRPr="007554DC" w:rsidRDefault="00511F8F" w:rsidP="00511F8F">
      <w:pPr>
        <w:spacing w:line="276" w:lineRule="auto"/>
        <w:jc w:val="center"/>
        <w:rPr>
          <w:rFonts w:ascii="Century Gothic" w:hAnsi="Century Gothic" w:cs="Arial"/>
          <w:szCs w:val="22"/>
        </w:rPr>
      </w:pPr>
      <w:r w:rsidRPr="007554DC">
        <w:rPr>
          <w:rFonts w:ascii="Century Gothic" w:hAnsi="Century Gothic" w:cs="Arial"/>
          <w:szCs w:val="22"/>
        </w:rPr>
        <w:lastRenderedPageBreak/>
        <w:t>_</w:t>
      </w:r>
      <w:r>
        <w:rPr>
          <w:rFonts w:ascii="Century Gothic" w:hAnsi="Century Gothic" w:cs="Arial"/>
          <w:szCs w:val="22"/>
        </w:rPr>
        <w:t>______</w:t>
      </w:r>
      <w:r w:rsidRPr="007554DC">
        <w:rPr>
          <w:rFonts w:ascii="Century Gothic" w:hAnsi="Century Gothic" w:cs="Arial"/>
          <w:szCs w:val="22"/>
        </w:rPr>
        <w:t>_______________________</w:t>
      </w:r>
    </w:p>
    <w:p w:rsidR="00511F8F" w:rsidRPr="007554DC" w:rsidRDefault="00511F8F" w:rsidP="00511F8F">
      <w:pPr>
        <w:spacing w:line="276" w:lineRule="auto"/>
        <w:jc w:val="center"/>
        <w:rPr>
          <w:rFonts w:ascii="Century Gothic" w:hAnsi="Century Gothic" w:cs="Arial"/>
          <w:b/>
          <w:i/>
          <w:szCs w:val="22"/>
        </w:rPr>
      </w:pPr>
      <w:r w:rsidRPr="007554DC">
        <w:rPr>
          <w:rFonts w:ascii="Century Gothic" w:hAnsi="Century Gothic" w:cs="Arial"/>
          <w:b/>
          <w:i/>
          <w:szCs w:val="22"/>
        </w:rPr>
        <w:t>Ricardo Calazans Marques</w:t>
      </w:r>
    </w:p>
    <w:p w:rsidR="00511F8F" w:rsidRPr="007554DC" w:rsidRDefault="00511F8F" w:rsidP="00511F8F">
      <w:pPr>
        <w:spacing w:line="276" w:lineRule="auto"/>
        <w:jc w:val="center"/>
        <w:rPr>
          <w:rFonts w:ascii="Century Gothic" w:hAnsi="Century Gothic" w:cs="Arial"/>
          <w:szCs w:val="22"/>
        </w:rPr>
      </w:pPr>
      <w:r w:rsidRPr="007554DC">
        <w:rPr>
          <w:rFonts w:ascii="Century Gothic" w:hAnsi="Century Gothic" w:cs="Arial"/>
          <w:szCs w:val="22"/>
        </w:rPr>
        <w:t>OAB/MG 93.194</w:t>
      </w:r>
    </w:p>
    <w:p w:rsidR="00511F8F" w:rsidRPr="007554DC" w:rsidRDefault="00511F8F" w:rsidP="00511F8F">
      <w:pPr>
        <w:spacing w:line="276" w:lineRule="auto"/>
        <w:jc w:val="center"/>
        <w:rPr>
          <w:rFonts w:ascii="Century Gothic" w:hAnsi="Century Gothic" w:cs="Arial"/>
          <w:szCs w:val="22"/>
        </w:rPr>
      </w:pPr>
    </w:p>
    <w:p w:rsidR="00511F8F" w:rsidRPr="007554DC" w:rsidRDefault="00511F8F" w:rsidP="00511F8F">
      <w:pPr>
        <w:spacing w:line="276" w:lineRule="auto"/>
        <w:jc w:val="center"/>
        <w:rPr>
          <w:rFonts w:ascii="Century Gothic" w:hAnsi="Century Gothic" w:cs="Arial"/>
          <w:szCs w:val="22"/>
        </w:rPr>
      </w:pPr>
      <w:r w:rsidRPr="007554DC">
        <w:rPr>
          <w:rFonts w:ascii="Century Gothic" w:hAnsi="Century Gothic" w:cs="Arial"/>
          <w:szCs w:val="22"/>
        </w:rPr>
        <w:lastRenderedPageBreak/>
        <w:t>_</w:t>
      </w:r>
      <w:r>
        <w:rPr>
          <w:rFonts w:ascii="Century Gothic" w:hAnsi="Century Gothic" w:cs="Arial"/>
          <w:szCs w:val="22"/>
        </w:rPr>
        <w:t>______</w:t>
      </w:r>
      <w:r w:rsidRPr="007554DC">
        <w:rPr>
          <w:rFonts w:ascii="Century Gothic" w:hAnsi="Century Gothic" w:cs="Arial"/>
          <w:szCs w:val="22"/>
        </w:rPr>
        <w:t>_______________________</w:t>
      </w:r>
    </w:p>
    <w:p w:rsidR="00511F8F" w:rsidRPr="007554DC" w:rsidRDefault="00511F8F" w:rsidP="00511F8F">
      <w:pPr>
        <w:spacing w:line="276" w:lineRule="auto"/>
        <w:jc w:val="center"/>
        <w:rPr>
          <w:rFonts w:ascii="Century Gothic" w:hAnsi="Century Gothic" w:cs="Arial"/>
          <w:b/>
          <w:i/>
          <w:szCs w:val="22"/>
        </w:rPr>
      </w:pPr>
      <w:r w:rsidRPr="007554DC">
        <w:rPr>
          <w:rFonts w:ascii="Century Gothic" w:hAnsi="Century Gothic" w:cs="Arial"/>
          <w:b/>
          <w:i/>
          <w:szCs w:val="22"/>
        </w:rPr>
        <w:t>Ricardo de Castro Pereira</w:t>
      </w:r>
    </w:p>
    <w:p w:rsidR="00511F8F" w:rsidRPr="007554DC" w:rsidRDefault="00511F8F" w:rsidP="00511F8F">
      <w:pPr>
        <w:spacing w:line="276" w:lineRule="auto"/>
        <w:jc w:val="center"/>
        <w:rPr>
          <w:rFonts w:ascii="Century Gothic" w:hAnsi="Century Gothic" w:cs="Arial"/>
          <w:szCs w:val="22"/>
        </w:rPr>
      </w:pPr>
      <w:r w:rsidRPr="007554DC">
        <w:rPr>
          <w:rFonts w:ascii="Century Gothic" w:hAnsi="Century Gothic" w:cs="Arial"/>
          <w:szCs w:val="22"/>
        </w:rPr>
        <w:t>OAB/MG 93.253</w:t>
      </w:r>
    </w:p>
    <w:p w:rsidR="00511F8F" w:rsidRPr="007554DC" w:rsidRDefault="00511F8F" w:rsidP="00511F8F">
      <w:pPr>
        <w:spacing w:line="276" w:lineRule="auto"/>
        <w:rPr>
          <w:rFonts w:ascii="Century Gothic" w:hAnsi="Century Gothic" w:cs="Arial"/>
          <w:szCs w:val="22"/>
        </w:rPr>
        <w:sectPr w:rsidR="00511F8F" w:rsidRPr="007554DC" w:rsidSect="00CB6742">
          <w:type w:val="continuous"/>
          <w:pgSz w:w="11906" w:h="16838"/>
          <w:pgMar w:top="1134" w:right="1417" w:bottom="1134" w:left="1417" w:header="709" w:footer="709" w:gutter="0"/>
          <w:cols w:num="2" w:space="708" w:equalWidth="0">
            <w:col w:w="4182" w:space="708"/>
            <w:col w:w="4182"/>
          </w:cols>
          <w:docGrid w:linePitch="360"/>
        </w:sectPr>
      </w:pPr>
    </w:p>
    <w:p w:rsidR="00511F8F" w:rsidRPr="007554DC" w:rsidRDefault="00511F8F" w:rsidP="00511F8F">
      <w:pPr>
        <w:spacing w:line="276" w:lineRule="auto"/>
        <w:rPr>
          <w:rFonts w:ascii="Century Gothic" w:hAnsi="Century Gothic" w:cs="Arial"/>
          <w:szCs w:val="22"/>
        </w:rPr>
      </w:pPr>
    </w:p>
    <w:p w:rsidR="00511F8F" w:rsidRPr="007554DC" w:rsidRDefault="00511F8F" w:rsidP="00511F8F">
      <w:pPr>
        <w:spacing w:line="276" w:lineRule="auto"/>
        <w:ind w:firstLine="1134"/>
        <w:jc w:val="right"/>
        <w:rPr>
          <w:rFonts w:ascii="Century Gothic" w:hAnsi="Century Gothic" w:cs="Arial"/>
          <w:szCs w:val="22"/>
        </w:rPr>
      </w:pPr>
    </w:p>
    <w:p w:rsidR="00511F8F" w:rsidRPr="007554DC" w:rsidRDefault="00511F8F" w:rsidP="00511F8F">
      <w:pPr>
        <w:spacing w:line="276" w:lineRule="auto"/>
        <w:ind w:firstLine="1134"/>
        <w:jc w:val="both"/>
        <w:rPr>
          <w:rFonts w:ascii="Century Gothic" w:hAnsi="Century Gothic" w:cs="Arial"/>
          <w:sz w:val="20"/>
        </w:rPr>
      </w:pPr>
    </w:p>
    <w:p w:rsidR="00591513" w:rsidRDefault="00591513"/>
    <w:sectPr w:rsidR="00591513" w:rsidSect="00E67272">
      <w:type w:val="continuous"/>
      <w:pgSz w:w="11906" w:h="16838"/>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3C" w:rsidRDefault="0021253C">
      <w:r>
        <w:separator/>
      </w:r>
    </w:p>
  </w:endnote>
  <w:endnote w:type="continuationSeparator" w:id="0">
    <w:p w:rsidR="0021253C" w:rsidRDefault="0021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2C8" w:rsidRPr="008F5310" w:rsidRDefault="00F70647" w:rsidP="001F4ABB">
    <w:pPr>
      <w:pStyle w:val="Footer"/>
      <w:pBdr>
        <w:top w:val="double" w:sz="4" w:space="1" w:color="808080"/>
      </w:pBdr>
      <w:jc w:val="center"/>
      <w:rPr>
        <w:rFonts w:ascii="Trajan Pro" w:hAnsi="Trajan Pro"/>
        <w:i/>
        <w:color w:val="808080"/>
        <w:sz w:val="16"/>
        <w:szCs w:val="16"/>
      </w:rPr>
    </w:pPr>
    <w:r w:rsidRPr="008F5310">
      <w:rPr>
        <w:rFonts w:ascii="Trajan Pro" w:hAnsi="Trajan Pro"/>
        <w:i/>
        <w:color w:val="808080"/>
        <w:sz w:val="16"/>
        <w:szCs w:val="16"/>
      </w:rPr>
      <w:t>Av. Barão do Rio Branco, 2288, salas 160</w:t>
    </w:r>
    <w:r>
      <w:rPr>
        <w:rFonts w:ascii="Trajan Pro" w:hAnsi="Trajan Pro"/>
        <w:i/>
        <w:color w:val="808080"/>
        <w:sz w:val="16"/>
        <w:szCs w:val="16"/>
      </w:rPr>
      <w:t>1</w:t>
    </w:r>
    <w:r w:rsidRPr="008F5310">
      <w:rPr>
        <w:rFonts w:ascii="Trajan Pro" w:hAnsi="Trajan Pro"/>
        <w:i/>
        <w:color w:val="808080"/>
        <w:sz w:val="16"/>
        <w:szCs w:val="16"/>
      </w:rPr>
      <w:t>-16</w:t>
    </w:r>
    <w:r>
      <w:rPr>
        <w:rFonts w:ascii="Trajan Pro" w:hAnsi="Trajan Pro"/>
        <w:i/>
        <w:color w:val="808080"/>
        <w:sz w:val="16"/>
        <w:szCs w:val="16"/>
      </w:rPr>
      <w:t>02</w:t>
    </w:r>
    <w:r w:rsidRPr="008F5310">
      <w:rPr>
        <w:rFonts w:ascii="Trajan Pro" w:hAnsi="Trajan Pro"/>
        <w:i/>
        <w:color w:val="808080"/>
        <w:sz w:val="16"/>
        <w:szCs w:val="16"/>
      </w:rPr>
      <w:t>, Ed. Solar do Progresso, CEP 36.016-310,</w:t>
    </w:r>
  </w:p>
  <w:p w:rsidR="004E02C8" w:rsidRPr="001F4ABB" w:rsidRDefault="00F70647" w:rsidP="001F4ABB">
    <w:pPr>
      <w:pStyle w:val="Footer"/>
      <w:jc w:val="center"/>
    </w:pPr>
    <w:r w:rsidRPr="008F5310">
      <w:rPr>
        <w:rFonts w:ascii="Trajan Pro" w:hAnsi="Trajan Pro"/>
        <w:i/>
        <w:color w:val="808080"/>
        <w:sz w:val="16"/>
        <w:szCs w:val="16"/>
      </w:rPr>
      <w:t>Juiz de Fora, MG - Tel/fax: (32) 3233-2950 – (32)</w:t>
    </w:r>
    <w:r w:rsidRPr="008F5310">
      <w:rPr>
        <w:color w:val="808080"/>
      </w:rPr>
      <w:t xml:space="preserve"> </w:t>
    </w:r>
    <w:r w:rsidRPr="008F5310">
      <w:rPr>
        <w:rFonts w:ascii="Trajan Pro" w:hAnsi="Trajan Pro"/>
        <w:i/>
        <w:color w:val="808080"/>
        <w:sz w:val="16"/>
        <w:szCs w:val="16"/>
      </w:rPr>
      <w:t>3216-7890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3C" w:rsidRDefault="0021253C">
      <w:r>
        <w:separator/>
      </w:r>
    </w:p>
  </w:footnote>
  <w:footnote w:type="continuationSeparator" w:id="0">
    <w:p w:rsidR="0021253C" w:rsidRDefault="002125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18" w:type="dxa"/>
      <w:tblBorders>
        <w:bottom w:val="double" w:sz="4" w:space="0" w:color="808080"/>
      </w:tblBorders>
      <w:shd w:val="clear" w:color="auto" w:fill="FFFFFF"/>
      <w:tblLook w:val="01E0" w:firstRow="1" w:lastRow="1" w:firstColumn="1" w:lastColumn="1" w:noHBand="0" w:noVBand="0"/>
    </w:tblPr>
    <w:tblGrid>
      <w:gridCol w:w="7103"/>
      <w:gridCol w:w="2215"/>
    </w:tblGrid>
    <w:tr w:rsidR="004E02C8">
      <w:trPr>
        <w:trHeight w:val="1135"/>
      </w:trPr>
      <w:tc>
        <w:tcPr>
          <w:tcW w:w="7103" w:type="dxa"/>
          <w:shd w:val="clear" w:color="auto" w:fill="FFFFFF"/>
          <w:vAlign w:val="center"/>
        </w:tcPr>
        <w:p w:rsidR="004E02C8" w:rsidRPr="008F5310" w:rsidRDefault="00F70647" w:rsidP="00CA3F7F">
          <w:pPr>
            <w:pStyle w:val="Header"/>
            <w:rPr>
              <w:rFonts w:ascii="Trajan Pro" w:hAnsi="Trajan Pro"/>
              <w:color w:val="808080"/>
              <w:sz w:val="14"/>
              <w:szCs w:val="14"/>
            </w:rPr>
          </w:pPr>
          <w:r w:rsidRPr="008F5310">
            <w:rPr>
              <w:rFonts w:ascii="Trajan Pro" w:hAnsi="Trajan Pro"/>
              <w:color w:val="808080"/>
              <w:sz w:val="14"/>
              <w:szCs w:val="14"/>
            </w:rPr>
            <w:t>Christofer Cunha Mansur - OAB/MG 93.236</w:t>
          </w:r>
        </w:p>
        <w:p w:rsidR="004E02C8" w:rsidRPr="008F5310" w:rsidRDefault="00F70647" w:rsidP="00CA3F7F">
          <w:pPr>
            <w:pStyle w:val="Header"/>
            <w:rPr>
              <w:rFonts w:ascii="Trajan Pro" w:hAnsi="Trajan Pro"/>
              <w:color w:val="808080"/>
              <w:sz w:val="14"/>
              <w:szCs w:val="14"/>
            </w:rPr>
          </w:pPr>
          <w:r w:rsidRPr="008F5310">
            <w:rPr>
              <w:rFonts w:ascii="Trajan Pro" w:hAnsi="Trajan Pro"/>
              <w:color w:val="808080"/>
              <w:sz w:val="14"/>
              <w:szCs w:val="14"/>
            </w:rPr>
            <w:t>Leonardo de Castro Pereira – OAB/MG 92</w:t>
          </w:r>
          <w:r w:rsidRPr="008F5310">
            <w:rPr>
              <w:rFonts w:ascii="Trajan Pro" w:hAnsi="Trajan Pro"/>
              <w:color w:val="BFBFBF"/>
              <w:sz w:val="14"/>
              <w:szCs w:val="14"/>
            </w:rPr>
            <w:t>.</w:t>
          </w:r>
          <w:r w:rsidRPr="008F5310">
            <w:rPr>
              <w:rFonts w:ascii="Trajan Pro" w:hAnsi="Trajan Pro"/>
              <w:color w:val="808080"/>
              <w:sz w:val="14"/>
              <w:szCs w:val="14"/>
            </w:rPr>
            <w:t>697</w:t>
          </w:r>
        </w:p>
        <w:p w:rsidR="004E02C8" w:rsidRPr="008F5310" w:rsidRDefault="00F70647" w:rsidP="00CA3F7F">
          <w:pPr>
            <w:pStyle w:val="Header"/>
            <w:rPr>
              <w:rFonts w:ascii="Trajan Pro" w:hAnsi="Trajan Pro"/>
              <w:color w:val="808080"/>
              <w:sz w:val="14"/>
              <w:szCs w:val="14"/>
            </w:rPr>
          </w:pPr>
          <w:r w:rsidRPr="008F5310">
            <w:rPr>
              <w:rFonts w:ascii="Trajan Pro" w:hAnsi="Trajan Pro"/>
              <w:color w:val="808080"/>
              <w:sz w:val="14"/>
              <w:szCs w:val="14"/>
            </w:rPr>
            <w:t>Ricardo Calazans Marques - OAB/MG 93.194</w:t>
          </w:r>
        </w:p>
        <w:p w:rsidR="004E02C8" w:rsidRDefault="00F70647" w:rsidP="00CA3F7F">
          <w:pPr>
            <w:pStyle w:val="Header"/>
          </w:pPr>
          <w:r w:rsidRPr="008F5310">
            <w:rPr>
              <w:rFonts w:ascii="Trajan Pro" w:hAnsi="Trajan Pro"/>
              <w:color w:val="808080"/>
              <w:sz w:val="14"/>
              <w:szCs w:val="14"/>
            </w:rPr>
            <w:t>Ricardo de Castro Pereira - OAB/MG 93.253</w:t>
          </w:r>
        </w:p>
      </w:tc>
      <w:tc>
        <w:tcPr>
          <w:tcW w:w="2215" w:type="dxa"/>
          <w:shd w:val="clear" w:color="auto" w:fill="FFFFFF"/>
        </w:tcPr>
        <w:p w:rsidR="004E02C8" w:rsidRDefault="00511F8F" w:rsidP="00CA3F7F">
          <w:pPr>
            <w:pStyle w:val="Header"/>
            <w:jc w:val="right"/>
          </w:pPr>
          <w:r>
            <w:rPr>
              <w:noProof/>
              <w:lang w:val="en-US" w:eastAsia="en-US"/>
            </w:rPr>
            <w:drawing>
              <wp:inline distT="0" distB="0" distL="0" distR="0">
                <wp:extent cx="1143000" cy="622300"/>
                <wp:effectExtent l="0" t="0" r="0" b="635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22300"/>
                        </a:xfrm>
                        <a:prstGeom prst="rect">
                          <a:avLst/>
                        </a:prstGeom>
                        <a:noFill/>
                        <a:ln>
                          <a:noFill/>
                        </a:ln>
                      </pic:spPr>
                    </pic:pic>
                  </a:graphicData>
                </a:graphic>
              </wp:inline>
            </w:drawing>
          </w:r>
        </w:p>
      </w:tc>
    </w:tr>
  </w:tbl>
  <w:p w:rsidR="004E02C8" w:rsidRPr="00995936" w:rsidRDefault="00437573" w:rsidP="001F4A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85D"/>
    <w:multiLevelType w:val="hybridMultilevel"/>
    <w:tmpl w:val="5A0ABD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8F"/>
    <w:rsid w:val="000017A6"/>
    <w:rsid w:val="00002153"/>
    <w:rsid w:val="000166CF"/>
    <w:rsid w:val="00016DFD"/>
    <w:rsid w:val="0002117F"/>
    <w:rsid w:val="00021711"/>
    <w:rsid w:val="00024370"/>
    <w:rsid w:val="00027404"/>
    <w:rsid w:val="00032CAB"/>
    <w:rsid w:val="00032ECC"/>
    <w:rsid w:val="00037B21"/>
    <w:rsid w:val="00040791"/>
    <w:rsid w:val="00042679"/>
    <w:rsid w:val="0004428E"/>
    <w:rsid w:val="000471C1"/>
    <w:rsid w:val="000528BF"/>
    <w:rsid w:val="00053150"/>
    <w:rsid w:val="0005461A"/>
    <w:rsid w:val="000651B9"/>
    <w:rsid w:val="00082EC2"/>
    <w:rsid w:val="00094C5C"/>
    <w:rsid w:val="000970DA"/>
    <w:rsid w:val="000A24DB"/>
    <w:rsid w:val="000A63FC"/>
    <w:rsid w:val="000A7C1C"/>
    <w:rsid w:val="000B0CF0"/>
    <w:rsid w:val="000B2056"/>
    <w:rsid w:val="000B645C"/>
    <w:rsid w:val="000C3C7B"/>
    <w:rsid w:val="000D14BD"/>
    <w:rsid w:val="000D53ED"/>
    <w:rsid w:val="000E0FCB"/>
    <w:rsid w:val="000E30F0"/>
    <w:rsid w:val="000E38E4"/>
    <w:rsid w:val="000E42B5"/>
    <w:rsid w:val="000E5AC1"/>
    <w:rsid w:val="000E666C"/>
    <w:rsid w:val="000E7671"/>
    <w:rsid w:val="000F3D7B"/>
    <w:rsid w:val="000F5E1B"/>
    <w:rsid w:val="001006E0"/>
    <w:rsid w:val="00110F46"/>
    <w:rsid w:val="00111DAA"/>
    <w:rsid w:val="00116488"/>
    <w:rsid w:val="00122DFE"/>
    <w:rsid w:val="00122E81"/>
    <w:rsid w:val="00124E36"/>
    <w:rsid w:val="00140F6A"/>
    <w:rsid w:val="00144002"/>
    <w:rsid w:val="00145004"/>
    <w:rsid w:val="00145F3F"/>
    <w:rsid w:val="00147EE5"/>
    <w:rsid w:val="001534D7"/>
    <w:rsid w:val="0015466C"/>
    <w:rsid w:val="00157110"/>
    <w:rsid w:val="0016177A"/>
    <w:rsid w:val="00164748"/>
    <w:rsid w:val="001700B9"/>
    <w:rsid w:val="0017123D"/>
    <w:rsid w:val="00171E1F"/>
    <w:rsid w:val="001774CF"/>
    <w:rsid w:val="001806B7"/>
    <w:rsid w:val="001A057E"/>
    <w:rsid w:val="001A7B2D"/>
    <w:rsid w:val="001B0607"/>
    <w:rsid w:val="001B090E"/>
    <w:rsid w:val="001B3976"/>
    <w:rsid w:val="001B658F"/>
    <w:rsid w:val="001C186E"/>
    <w:rsid w:val="001C4A26"/>
    <w:rsid w:val="001C7598"/>
    <w:rsid w:val="001D219E"/>
    <w:rsid w:val="001D52CF"/>
    <w:rsid w:val="001D74E0"/>
    <w:rsid w:val="001E0B00"/>
    <w:rsid w:val="001E5FA6"/>
    <w:rsid w:val="001E7119"/>
    <w:rsid w:val="002008A5"/>
    <w:rsid w:val="0021111D"/>
    <w:rsid w:val="0021253C"/>
    <w:rsid w:val="002164A0"/>
    <w:rsid w:val="00220BFF"/>
    <w:rsid w:val="00224066"/>
    <w:rsid w:val="00224718"/>
    <w:rsid w:val="002254B6"/>
    <w:rsid w:val="00226790"/>
    <w:rsid w:val="00232DDF"/>
    <w:rsid w:val="00233616"/>
    <w:rsid w:val="00234B8F"/>
    <w:rsid w:val="002360EE"/>
    <w:rsid w:val="002365A6"/>
    <w:rsid w:val="00237230"/>
    <w:rsid w:val="00251806"/>
    <w:rsid w:val="002529B2"/>
    <w:rsid w:val="002563CA"/>
    <w:rsid w:val="00260BCC"/>
    <w:rsid w:val="002729AD"/>
    <w:rsid w:val="00274048"/>
    <w:rsid w:val="00280EDE"/>
    <w:rsid w:val="00281F22"/>
    <w:rsid w:val="00290909"/>
    <w:rsid w:val="002947F5"/>
    <w:rsid w:val="002A096D"/>
    <w:rsid w:val="002A6A70"/>
    <w:rsid w:val="002B16A1"/>
    <w:rsid w:val="002B1B52"/>
    <w:rsid w:val="002B639A"/>
    <w:rsid w:val="002C1FC2"/>
    <w:rsid w:val="002E0C0D"/>
    <w:rsid w:val="002E61DB"/>
    <w:rsid w:val="002F1B7C"/>
    <w:rsid w:val="002F2E7E"/>
    <w:rsid w:val="002F371A"/>
    <w:rsid w:val="002F6F2E"/>
    <w:rsid w:val="0030162B"/>
    <w:rsid w:val="00320BEE"/>
    <w:rsid w:val="00320D91"/>
    <w:rsid w:val="003252DF"/>
    <w:rsid w:val="00336AC5"/>
    <w:rsid w:val="00346893"/>
    <w:rsid w:val="003547C5"/>
    <w:rsid w:val="00355046"/>
    <w:rsid w:val="00361685"/>
    <w:rsid w:val="003760EB"/>
    <w:rsid w:val="00380AE4"/>
    <w:rsid w:val="00380B0E"/>
    <w:rsid w:val="00380FFD"/>
    <w:rsid w:val="00382372"/>
    <w:rsid w:val="003A19CD"/>
    <w:rsid w:val="003A1B2C"/>
    <w:rsid w:val="003A69DB"/>
    <w:rsid w:val="003B03F3"/>
    <w:rsid w:val="003B663A"/>
    <w:rsid w:val="003B6771"/>
    <w:rsid w:val="003B6B4E"/>
    <w:rsid w:val="003B7FA3"/>
    <w:rsid w:val="003D105C"/>
    <w:rsid w:val="003E33DE"/>
    <w:rsid w:val="003F284E"/>
    <w:rsid w:val="003F4F4B"/>
    <w:rsid w:val="003F584F"/>
    <w:rsid w:val="00402D03"/>
    <w:rsid w:val="00403DE2"/>
    <w:rsid w:val="00412CF4"/>
    <w:rsid w:val="00424FE2"/>
    <w:rsid w:val="00432926"/>
    <w:rsid w:val="00435FC8"/>
    <w:rsid w:val="00436663"/>
    <w:rsid w:val="00437573"/>
    <w:rsid w:val="00442E29"/>
    <w:rsid w:val="00442EFB"/>
    <w:rsid w:val="00447330"/>
    <w:rsid w:val="00452F5E"/>
    <w:rsid w:val="00456211"/>
    <w:rsid w:val="00460FDC"/>
    <w:rsid w:val="00465B70"/>
    <w:rsid w:val="00467E0B"/>
    <w:rsid w:val="0047657A"/>
    <w:rsid w:val="00483457"/>
    <w:rsid w:val="004856F7"/>
    <w:rsid w:val="00492D0B"/>
    <w:rsid w:val="004A14D9"/>
    <w:rsid w:val="004A31D5"/>
    <w:rsid w:val="004B4AB0"/>
    <w:rsid w:val="004C07F5"/>
    <w:rsid w:val="004C118C"/>
    <w:rsid w:val="004C163E"/>
    <w:rsid w:val="004C7124"/>
    <w:rsid w:val="004D3884"/>
    <w:rsid w:val="004D6132"/>
    <w:rsid w:val="004E11AE"/>
    <w:rsid w:val="004E2033"/>
    <w:rsid w:val="004E4BCA"/>
    <w:rsid w:val="004E574D"/>
    <w:rsid w:val="004E5FC0"/>
    <w:rsid w:val="004F46F3"/>
    <w:rsid w:val="00500D21"/>
    <w:rsid w:val="00503561"/>
    <w:rsid w:val="00503812"/>
    <w:rsid w:val="00503833"/>
    <w:rsid w:val="00511F8F"/>
    <w:rsid w:val="005221F4"/>
    <w:rsid w:val="00525654"/>
    <w:rsid w:val="00532824"/>
    <w:rsid w:val="00536676"/>
    <w:rsid w:val="00546A95"/>
    <w:rsid w:val="00553B35"/>
    <w:rsid w:val="00570C7B"/>
    <w:rsid w:val="00572445"/>
    <w:rsid w:val="0057375D"/>
    <w:rsid w:val="00576092"/>
    <w:rsid w:val="00580AF4"/>
    <w:rsid w:val="0058141F"/>
    <w:rsid w:val="005816ED"/>
    <w:rsid w:val="00581A1F"/>
    <w:rsid w:val="00585045"/>
    <w:rsid w:val="0058529E"/>
    <w:rsid w:val="0058670D"/>
    <w:rsid w:val="00591513"/>
    <w:rsid w:val="00597D9C"/>
    <w:rsid w:val="005C3EB8"/>
    <w:rsid w:val="005D19F8"/>
    <w:rsid w:val="005D6001"/>
    <w:rsid w:val="005D7F1A"/>
    <w:rsid w:val="005E392E"/>
    <w:rsid w:val="005E6510"/>
    <w:rsid w:val="005E7992"/>
    <w:rsid w:val="005F0BC7"/>
    <w:rsid w:val="005F2D87"/>
    <w:rsid w:val="005F43A8"/>
    <w:rsid w:val="0060206B"/>
    <w:rsid w:val="00606606"/>
    <w:rsid w:val="0062054B"/>
    <w:rsid w:val="00621854"/>
    <w:rsid w:val="006219EC"/>
    <w:rsid w:val="006238F8"/>
    <w:rsid w:val="00624DCD"/>
    <w:rsid w:val="0062582B"/>
    <w:rsid w:val="00625A1E"/>
    <w:rsid w:val="0063102A"/>
    <w:rsid w:val="00631147"/>
    <w:rsid w:val="0063167F"/>
    <w:rsid w:val="00632719"/>
    <w:rsid w:val="00632F0B"/>
    <w:rsid w:val="00633DB4"/>
    <w:rsid w:val="006344F3"/>
    <w:rsid w:val="0063458C"/>
    <w:rsid w:val="006352BD"/>
    <w:rsid w:val="00640AB8"/>
    <w:rsid w:val="00641A6D"/>
    <w:rsid w:val="00642958"/>
    <w:rsid w:val="00656A77"/>
    <w:rsid w:val="006575ED"/>
    <w:rsid w:val="0066012A"/>
    <w:rsid w:val="00677691"/>
    <w:rsid w:val="00685078"/>
    <w:rsid w:val="00686820"/>
    <w:rsid w:val="006871BE"/>
    <w:rsid w:val="006915BF"/>
    <w:rsid w:val="00691EB0"/>
    <w:rsid w:val="00693EEB"/>
    <w:rsid w:val="006A1D54"/>
    <w:rsid w:val="006A224D"/>
    <w:rsid w:val="006A3C92"/>
    <w:rsid w:val="006A677D"/>
    <w:rsid w:val="006C020B"/>
    <w:rsid w:val="006D13C3"/>
    <w:rsid w:val="006D26CB"/>
    <w:rsid w:val="006E2186"/>
    <w:rsid w:val="006E2DAE"/>
    <w:rsid w:val="006E308A"/>
    <w:rsid w:val="006F0C2C"/>
    <w:rsid w:val="006F3E95"/>
    <w:rsid w:val="00700F11"/>
    <w:rsid w:val="00710249"/>
    <w:rsid w:val="00711BEC"/>
    <w:rsid w:val="007205B1"/>
    <w:rsid w:val="0072169A"/>
    <w:rsid w:val="00730790"/>
    <w:rsid w:val="00747104"/>
    <w:rsid w:val="00763F37"/>
    <w:rsid w:val="00764BEF"/>
    <w:rsid w:val="007719CA"/>
    <w:rsid w:val="0077203B"/>
    <w:rsid w:val="00795540"/>
    <w:rsid w:val="0079646B"/>
    <w:rsid w:val="007A2E68"/>
    <w:rsid w:val="007A503F"/>
    <w:rsid w:val="007A7CE1"/>
    <w:rsid w:val="007C1489"/>
    <w:rsid w:val="007C2876"/>
    <w:rsid w:val="007C6700"/>
    <w:rsid w:val="007D2F63"/>
    <w:rsid w:val="007E197A"/>
    <w:rsid w:val="007E2157"/>
    <w:rsid w:val="007E2DCF"/>
    <w:rsid w:val="007E78E3"/>
    <w:rsid w:val="007F0079"/>
    <w:rsid w:val="007F57DD"/>
    <w:rsid w:val="008001EF"/>
    <w:rsid w:val="008027DD"/>
    <w:rsid w:val="00802A9F"/>
    <w:rsid w:val="008106BB"/>
    <w:rsid w:val="0081212B"/>
    <w:rsid w:val="00812771"/>
    <w:rsid w:val="00815A1A"/>
    <w:rsid w:val="00816F25"/>
    <w:rsid w:val="008179EA"/>
    <w:rsid w:val="00820DA4"/>
    <w:rsid w:val="00821DBA"/>
    <w:rsid w:val="008302BE"/>
    <w:rsid w:val="0083456C"/>
    <w:rsid w:val="00834EAA"/>
    <w:rsid w:val="008359C3"/>
    <w:rsid w:val="008408F4"/>
    <w:rsid w:val="008442D2"/>
    <w:rsid w:val="00844355"/>
    <w:rsid w:val="00860248"/>
    <w:rsid w:val="008624CE"/>
    <w:rsid w:val="00863038"/>
    <w:rsid w:val="00863C74"/>
    <w:rsid w:val="00872486"/>
    <w:rsid w:val="00877181"/>
    <w:rsid w:val="00880952"/>
    <w:rsid w:val="00883D05"/>
    <w:rsid w:val="0088571A"/>
    <w:rsid w:val="008860D4"/>
    <w:rsid w:val="00887272"/>
    <w:rsid w:val="00887EC3"/>
    <w:rsid w:val="00892897"/>
    <w:rsid w:val="00892D84"/>
    <w:rsid w:val="0089715A"/>
    <w:rsid w:val="008A0F96"/>
    <w:rsid w:val="008A18AA"/>
    <w:rsid w:val="008A35AE"/>
    <w:rsid w:val="008A4E82"/>
    <w:rsid w:val="008A7A9A"/>
    <w:rsid w:val="008B2CE9"/>
    <w:rsid w:val="008B4028"/>
    <w:rsid w:val="008B644F"/>
    <w:rsid w:val="008C5ABA"/>
    <w:rsid w:val="008C6DA6"/>
    <w:rsid w:val="008C7540"/>
    <w:rsid w:val="008D7525"/>
    <w:rsid w:val="008E1D42"/>
    <w:rsid w:val="008E496D"/>
    <w:rsid w:val="008F2467"/>
    <w:rsid w:val="008F3B69"/>
    <w:rsid w:val="008F407D"/>
    <w:rsid w:val="00900629"/>
    <w:rsid w:val="00904FFA"/>
    <w:rsid w:val="0090570A"/>
    <w:rsid w:val="00910BBB"/>
    <w:rsid w:val="0091306E"/>
    <w:rsid w:val="009213BF"/>
    <w:rsid w:val="009221A7"/>
    <w:rsid w:val="00923D83"/>
    <w:rsid w:val="009254CF"/>
    <w:rsid w:val="00936086"/>
    <w:rsid w:val="009514EA"/>
    <w:rsid w:val="0095570C"/>
    <w:rsid w:val="00957CA3"/>
    <w:rsid w:val="00960238"/>
    <w:rsid w:val="00963AE6"/>
    <w:rsid w:val="00967DE7"/>
    <w:rsid w:val="00973722"/>
    <w:rsid w:val="009740A7"/>
    <w:rsid w:val="00975DC2"/>
    <w:rsid w:val="00980590"/>
    <w:rsid w:val="00986CE9"/>
    <w:rsid w:val="00994B34"/>
    <w:rsid w:val="009A1FF9"/>
    <w:rsid w:val="009A5F32"/>
    <w:rsid w:val="009B1750"/>
    <w:rsid w:val="009B341F"/>
    <w:rsid w:val="009B6CB0"/>
    <w:rsid w:val="009B7502"/>
    <w:rsid w:val="009D174D"/>
    <w:rsid w:val="009D1C06"/>
    <w:rsid w:val="009D459E"/>
    <w:rsid w:val="009D6BEF"/>
    <w:rsid w:val="009D7A31"/>
    <w:rsid w:val="009E2B34"/>
    <w:rsid w:val="009E3443"/>
    <w:rsid w:val="009E5826"/>
    <w:rsid w:val="00A023C5"/>
    <w:rsid w:val="00A032CD"/>
    <w:rsid w:val="00A060BF"/>
    <w:rsid w:val="00A1577B"/>
    <w:rsid w:val="00A32875"/>
    <w:rsid w:val="00A44045"/>
    <w:rsid w:val="00A45EA1"/>
    <w:rsid w:val="00A51ECF"/>
    <w:rsid w:val="00A55B01"/>
    <w:rsid w:val="00A56C3C"/>
    <w:rsid w:val="00A60D6D"/>
    <w:rsid w:val="00A722AF"/>
    <w:rsid w:val="00A74FCF"/>
    <w:rsid w:val="00A85290"/>
    <w:rsid w:val="00A85DF2"/>
    <w:rsid w:val="00A94800"/>
    <w:rsid w:val="00A966AD"/>
    <w:rsid w:val="00AA5988"/>
    <w:rsid w:val="00AB160B"/>
    <w:rsid w:val="00AB642C"/>
    <w:rsid w:val="00AC14BB"/>
    <w:rsid w:val="00AC3B32"/>
    <w:rsid w:val="00AC56BE"/>
    <w:rsid w:val="00AC7150"/>
    <w:rsid w:val="00AC7CD0"/>
    <w:rsid w:val="00AD0DA7"/>
    <w:rsid w:val="00AD347B"/>
    <w:rsid w:val="00AD42EA"/>
    <w:rsid w:val="00AE2466"/>
    <w:rsid w:val="00AE2756"/>
    <w:rsid w:val="00AE4222"/>
    <w:rsid w:val="00AE5FCE"/>
    <w:rsid w:val="00AE76BA"/>
    <w:rsid w:val="00AF3A16"/>
    <w:rsid w:val="00AF625C"/>
    <w:rsid w:val="00AF646E"/>
    <w:rsid w:val="00B00EF3"/>
    <w:rsid w:val="00B20A55"/>
    <w:rsid w:val="00B240CE"/>
    <w:rsid w:val="00B30D3D"/>
    <w:rsid w:val="00B36A23"/>
    <w:rsid w:val="00B4247E"/>
    <w:rsid w:val="00B511C8"/>
    <w:rsid w:val="00B51782"/>
    <w:rsid w:val="00B519C6"/>
    <w:rsid w:val="00B5331C"/>
    <w:rsid w:val="00B60CD2"/>
    <w:rsid w:val="00B66809"/>
    <w:rsid w:val="00B66ECF"/>
    <w:rsid w:val="00B67FC4"/>
    <w:rsid w:val="00B71F62"/>
    <w:rsid w:val="00B73DFF"/>
    <w:rsid w:val="00B7659F"/>
    <w:rsid w:val="00B84A05"/>
    <w:rsid w:val="00B90E89"/>
    <w:rsid w:val="00B9100E"/>
    <w:rsid w:val="00BA0108"/>
    <w:rsid w:val="00BA0BA6"/>
    <w:rsid w:val="00BA1484"/>
    <w:rsid w:val="00BA6623"/>
    <w:rsid w:val="00BC4EEB"/>
    <w:rsid w:val="00BC7071"/>
    <w:rsid w:val="00BD27C6"/>
    <w:rsid w:val="00BD37A6"/>
    <w:rsid w:val="00BE4DF5"/>
    <w:rsid w:val="00C018C9"/>
    <w:rsid w:val="00C03790"/>
    <w:rsid w:val="00C127C7"/>
    <w:rsid w:val="00C14A0A"/>
    <w:rsid w:val="00C15ABE"/>
    <w:rsid w:val="00C1731A"/>
    <w:rsid w:val="00C20D6A"/>
    <w:rsid w:val="00C21F50"/>
    <w:rsid w:val="00C25AF7"/>
    <w:rsid w:val="00C362E8"/>
    <w:rsid w:val="00C37F68"/>
    <w:rsid w:val="00C425C2"/>
    <w:rsid w:val="00C566E4"/>
    <w:rsid w:val="00C601F1"/>
    <w:rsid w:val="00C64B33"/>
    <w:rsid w:val="00C66836"/>
    <w:rsid w:val="00C6710E"/>
    <w:rsid w:val="00C8422E"/>
    <w:rsid w:val="00C86A85"/>
    <w:rsid w:val="00C9783B"/>
    <w:rsid w:val="00CA0EFA"/>
    <w:rsid w:val="00CA1B0C"/>
    <w:rsid w:val="00CA422B"/>
    <w:rsid w:val="00CA58E6"/>
    <w:rsid w:val="00CA7720"/>
    <w:rsid w:val="00CB2D45"/>
    <w:rsid w:val="00CB3EA0"/>
    <w:rsid w:val="00CB76CE"/>
    <w:rsid w:val="00CC35E6"/>
    <w:rsid w:val="00CD472D"/>
    <w:rsid w:val="00CD6929"/>
    <w:rsid w:val="00CE02AA"/>
    <w:rsid w:val="00CE36A9"/>
    <w:rsid w:val="00CE3996"/>
    <w:rsid w:val="00D0323A"/>
    <w:rsid w:val="00D04CD5"/>
    <w:rsid w:val="00D06821"/>
    <w:rsid w:val="00D11306"/>
    <w:rsid w:val="00D1790F"/>
    <w:rsid w:val="00D179E7"/>
    <w:rsid w:val="00D17A25"/>
    <w:rsid w:val="00D31DC7"/>
    <w:rsid w:val="00D32DAF"/>
    <w:rsid w:val="00D32F75"/>
    <w:rsid w:val="00D34952"/>
    <w:rsid w:val="00D41EFE"/>
    <w:rsid w:val="00D43707"/>
    <w:rsid w:val="00D4629A"/>
    <w:rsid w:val="00D47D11"/>
    <w:rsid w:val="00D53F7D"/>
    <w:rsid w:val="00D566CD"/>
    <w:rsid w:val="00D60CCA"/>
    <w:rsid w:val="00D65FF7"/>
    <w:rsid w:val="00D7421E"/>
    <w:rsid w:val="00D87BEA"/>
    <w:rsid w:val="00D93E5A"/>
    <w:rsid w:val="00D96666"/>
    <w:rsid w:val="00D96997"/>
    <w:rsid w:val="00DA135E"/>
    <w:rsid w:val="00DA225E"/>
    <w:rsid w:val="00DA4756"/>
    <w:rsid w:val="00DA617B"/>
    <w:rsid w:val="00DA7B30"/>
    <w:rsid w:val="00DB562B"/>
    <w:rsid w:val="00DC4C3D"/>
    <w:rsid w:val="00DC55FB"/>
    <w:rsid w:val="00DC6EB9"/>
    <w:rsid w:val="00DD1069"/>
    <w:rsid w:val="00DE274F"/>
    <w:rsid w:val="00DE7F4F"/>
    <w:rsid w:val="00DF1D21"/>
    <w:rsid w:val="00DF6504"/>
    <w:rsid w:val="00E00669"/>
    <w:rsid w:val="00E0667D"/>
    <w:rsid w:val="00E13386"/>
    <w:rsid w:val="00E13BD1"/>
    <w:rsid w:val="00E227BA"/>
    <w:rsid w:val="00E24447"/>
    <w:rsid w:val="00E258F2"/>
    <w:rsid w:val="00E33125"/>
    <w:rsid w:val="00E33976"/>
    <w:rsid w:val="00E34030"/>
    <w:rsid w:val="00E35CAD"/>
    <w:rsid w:val="00E418B5"/>
    <w:rsid w:val="00E47C50"/>
    <w:rsid w:val="00E50A8B"/>
    <w:rsid w:val="00E50B31"/>
    <w:rsid w:val="00E548A3"/>
    <w:rsid w:val="00E604ED"/>
    <w:rsid w:val="00E6052D"/>
    <w:rsid w:val="00E623B5"/>
    <w:rsid w:val="00E6363C"/>
    <w:rsid w:val="00E653F9"/>
    <w:rsid w:val="00E657FF"/>
    <w:rsid w:val="00E67D04"/>
    <w:rsid w:val="00E75ACD"/>
    <w:rsid w:val="00E807E1"/>
    <w:rsid w:val="00E81A0E"/>
    <w:rsid w:val="00E81FEE"/>
    <w:rsid w:val="00E8675B"/>
    <w:rsid w:val="00E901ED"/>
    <w:rsid w:val="00E92D81"/>
    <w:rsid w:val="00EA15CD"/>
    <w:rsid w:val="00EA1B6C"/>
    <w:rsid w:val="00EA6BEE"/>
    <w:rsid w:val="00EB5F9F"/>
    <w:rsid w:val="00EB7B93"/>
    <w:rsid w:val="00EC7152"/>
    <w:rsid w:val="00EC72DB"/>
    <w:rsid w:val="00ED6993"/>
    <w:rsid w:val="00ED7527"/>
    <w:rsid w:val="00EE0128"/>
    <w:rsid w:val="00F01685"/>
    <w:rsid w:val="00F0191D"/>
    <w:rsid w:val="00F12E37"/>
    <w:rsid w:val="00F12F66"/>
    <w:rsid w:val="00F1547B"/>
    <w:rsid w:val="00F20FB5"/>
    <w:rsid w:val="00F22E53"/>
    <w:rsid w:val="00F26B07"/>
    <w:rsid w:val="00F32BFD"/>
    <w:rsid w:val="00F35E7D"/>
    <w:rsid w:val="00F40EF5"/>
    <w:rsid w:val="00F42CD4"/>
    <w:rsid w:val="00F448DF"/>
    <w:rsid w:val="00F4571E"/>
    <w:rsid w:val="00F51BB0"/>
    <w:rsid w:val="00F568C2"/>
    <w:rsid w:val="00F60DBB"/>
    <w:rsid w:val="00F6448B"/>
    <w:rsid w:val="00F70647"/>
    <w:rsid w:val="00F74467"/>
    <w:rsid w:val="00F8552D"/>
    <w:rsid w:val="00F9043B"/>
    <w:rsid w:val="00F934A4"/>
    <w:rsid w:val="00FA1959"/>
    <w:rsid w:val="00FA32F8"/>
    <w:rsid w:val="00FA5A42"/>
    <w:rsid w:val="00FA7974"/>
    <w:rsid w:val="00FA7D81"/>
    <w:rsid w:val="00FB5267"/>
    <w:rsid w:val="00FC2FDF"/>
    <w:rsid w:val="00FC5DD3"/>
    <w:rsid w:val="00FC653E"/>
    <w:rsid w:val="00FC659D"/>
    <w:rsid w:val="00FD6BBB"/>
    <w:rsid w:val="00FE30D4"/>
    <w:rsid w:val="00FE711E"/>
    <w:rsid w:val="00FE7AAF"/>
    <w:rsid w:val="00FF4FD2"/>
    <w:rsid w:val="00FF6F2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8F"/>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11F8F"/>
    <w:pPr>
      <w:tabs>
        <w:tab w:val="center" w:pos="4419"/>
        <w:tab w:val="right" w:pos="8838"/>
      </w:tabs>
    </w:pPr>
  </w:style>
  <w:style w:type="character" w:customStyle="1" w:styleId="HeaderChar">
    <w:name w:val="Header Char"/>
    <w:basedOn w:val="DefaultParagraphFont"/>
    <w:link w:val="Header"/>
    <w:semiHidden/>
    <w:rsid w:val="00511F8F"/>
    <w:rPr>
      <w:rFonts w:ascii="Times New Roman" w:eastAsia="Times New Roman" w:hAnsi="Times New Roman" w:cs="Times New Roman"/>
      <w:sz w:val="24"/>
      <w:szCs w:val="24"/>
      <w:lang w:eastAsia="pt-BR"/>
    </w:rPr>
  </w:style>
  <w:style w:type="paragraph" w:styleId="Footer">
    <w:name w:val="footer"/>
    <w:basedOn w:val="Normal"/>
    <w:link w:val="FooterChar"/>
    <w:semiHidden/>
    <w:rsid w:val="00511F8F"/>
    <w:pPr>
      <w:tabs>
        <w:tab w:val="center" w:pos="4419"/>
        <w:tab w:val="right" w:pos="8838"/>
      </w:tabs>
    </w:pPr>
  </w:style>
  <w:style w:type="character" w:customStyle="1" w:styleId="FooterChar">
    <w:name w:val="Footer Char"/>
    <w:basedOn w:val="DefaultParagraphFont"/>
    <w:link w:val="Footer"/>
    <w:semiHidden/>
    <w:rsid w:val="00511F8F"/>
    <w:rPr>
      <w:rFonts w:ascii="Times New Roman" w:eastAsia="Times New Roman" w:hAnsi="Times New Roman" w:cs="Times New Roman"/>
      <w:sz w:val="24"/>
      <w:szCs w:val="24"/>
      <w:lang w:eastAsia="pt-BR"/>
    </w:rPr>
  </w:style>
  <w:style w:type="character" w:styleId="Hyperlink">
    <w:name w:val="Hyperlink"/>
    <w:rsid w:val="00511F8F"/>
    <w:rPr>
      <w:color w:val="0000FF"/>
      <w:u w:val="single"/>
    </w:rPr>
  </w:style>
  <w:style w:type="paragraph" w:styleId="BalloonText">
    <w:name w:val="Balloon Text"/>
    <w:basedOn w:val="Normal"/>
    <w:link w:val="BalloonTextChar"/>
    <w:uiPriority w:val="99"/>
    <w:semiHidden/>
    <w:unhideWhenUsed/>
    <w:rsid w:val="00511F8F"/>
    <w:rPr>
      <w:rFonts w:ascii="Tahoma" w:hAnsi="Tahoma" w:cs="Tahoma"/>
      <w:sz w:val="16"/>
      <w:szCs w:val="16"/>
    </w:rPr>
  </w:style>
  <w:style w:type="character" w:customStyle="1" w:styleId="BalloonTextChar">
    <w:name w:val="Balloon Text Char"/>
    <w:basedOn w:val="DefaultParagraphFont"/>
    <w:link w:val="BalloonText"/>
    <w:uiPriority w:val="99"/>
    <w:semiHidden/>
    <w:rsid w:val="00511F8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8F"/>
    <w:pPr>
      <w:spacing w:after="0" w:line="240" w:lineRule="auto"/>
    </w:pPr>
    <w:rPr>
      <w:rFonts w:ascii="Times New Roman" w:eastAsia="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11F8F"/>
    <w:pPr>
      <w:tabs>
        <w:tab w:val="center" w:pos="4419"/>
        <w:tab w:val="right" w:pos="8838"/>
      </w:tabs>
    </w:pPr>
  </w:style>
  <w:style w:type="character" w:customStyle="1" w:styleId="HeaderChar">
    <w:name w:val="Header Char"/>
    <w:basedOn w:val="DefaultParagraphFont"/>
    <w:link w:val="Header"/>
    <w:semiHidden/>
    <w:rsid w:val="00511F8F"/>
    <w:rPr>
      <w:rFonts w:ascii="Times New Roman" w:eastAsia="Times New Roman" w:hAnsi="Times New Roman" w:cs="Times New Roman"/>
      <w:sz w:val="24"/>
      <w:szCs w:val="24"/>
      <w:lang w:eastAsia="pt-BR"/>
    </w:rPr>
  </w:style>
  <w:style w:type="paragraph" w:styleId="Footer">
    <w:name w:val="footer"/>
    <w:basedOn w:val="Normal"/>
    <w:link w:val="FooterChar"/>
    <w:semiHidden/>
    <w:rsid w:val="00511F8F"/>
    <w:pPr>
      <w:tabs>
        <w:tab w:val="center" w:pos="4419"/>
        <w:tab w:val="right" w:pos="8838"/>
      </w:tabs>
    </w:pPr>
  </w:style>
  <w:style w:type="character" w:customStyle="1" w:styleId="FooterChar">
    <w:name w:val="Footer Char"/>
    <w:basedOn w:val="DefaultParagraphFont"/>
    <w:link w:val="Footer"/>
    <w:semiHidden/>
    <w:rsid w:val="00511F8F"/>
    <w:rPr>
      <w:rFonts w:ascii="Times New Roman" w:eastAsia="Times New Roman" w:hAnsi="Times New Roman" w:cs="Times New Roman"/>
      <w:sz w:val="24"/>
      <w:szCs w:val="24"/>
      <w:lang w:eastAsia="pt-BR"/>
    </w:rPr>
  </w:style>
  <w:style w:type="character" w:styleId="Hyperlink">
    <w:name w:val="Hyperlink"/>
    <w:rsid w:val="00511F8F"/>
    <w:rPr>
      <w:color w:val="0000FF"/>
      <w:u w:val="single"/>
    </w:rPr>
  </w:style>
  <w:style w:type="paragraph" w:styleId="BalloonText">
    <w:name w:val="Balloon Text"/>
    <w:basedOn w:val="Normal"/>
    <w:link w:val="BalloonTextChar"/>
    <w:uiPriority w:val="99"/>
    <w:semiHidden/>
    <w:unhideWhenUsed/>
    <w:rsid w:val="00511F8F"/>
    <w:rPr>
      <w:rFonts w:ascii="Tahoma" w:hAnsi="Tahoma" w:cs="Tahoma"/>
      <w:sz w:val="16"/>
      <w:szCs w:val="16"/>
    </w:rPr>
  </w:style>
  <w:style w:type="character" w:customStyle="1" w:styleId="BalloonTextChar">
    <w:name w:val="Balloon Text Char"/>
    <w:basedOn w:val="DefaultParagraphFont"/>
    <w:link w:val="BalloonText"/>
    <w:uiPriority w:val="99"/>
    <w:semiHidden/>
    <w:rsid w:val="00511F8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nalto.gov.br/ccivil_03/LEIS/L8112cons.ht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3277</Words>
  <Characters>18684</Characters>
  <Application>Microsoft Macintosh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Ricaspe</dc:creator>
  <cp:lastModifiedBy>Leonardo de Castro Pereira</cp:lastModifiedBy>
  <cp:revision>2</cp:revision>
  <dcterms:created xsi:type="dcterms:W3CDTF">2014-04-16T19:22:00Z</dcterms:created>
  <dcterms:modified xsi:type="dcterms:W3CDTF">2014-04-16T19:22:00Z</dcterms:modified>
</cp:coreProperties>
</file>